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purl.oclc.org/ooxml/officeDocument/relationships/extendedProperties" Target="docProps/app.xml"/><Relationship Id="rId2" Type="http://schemas.openxmlformats.org/package/2006/relationships/metadata/core-properties" Target="docProps/core.xml"/><Relationship Id="rId1" Type="http://purl.oclc.org/ooxml/officeDocument/relationships/officeDocument" Target="word/document.xml"/><Relationship Id="rId4" Type="http://purl.oclc.org/ooxml/officeDocument/relationships/customProperties" Target="docProps/custom.xml"/></Relationships>
</file>

<file path=word/document.xml><?xml version="1.0" encoding="utf-8"?>
<w:document xmlns:cx="http://schemas.microsoft.com/office/drawing/2014/chartex" xmlns:cx1="http://schemas.microsoft.com/office/drawing/2015/9/8/chartex"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se="http://schemas.microsoft.com/office/word/2015/wordml/symex" xmlns:wpi="http://schemas.microsoft.com/office/word/2010/wordprocessingInk" xmlns:wne="http://schemas.microsoft.com/office/word/2006/wordml" mc:Ignorable="w14 w15 w16se wne wp14" w:conformance="strict">
  <w:body>
    <w:p w14:paraId="20C779BD" w14:textId="5994AF84" w:rsidR="00D7522C" w:rsidRPr="00BB21CE" w:rsidRDefault="001E6C17" w:rsidP="00BB21CE">
      <w:pPr>
        <w:pStyle w:val="papertitle"/>
        <w:spacing w:before="5pt" w:beforeAutospacing="1" w:after="5pt" w:afterAutospacing="1"/>
        <w:rPr>
          <w:kern w:val="48"/>
        </w:rPr>
      </w:pPr>
      <w:r>
        <w:rPr>
          <w:kern w:val="48"/>
        </w:rPr>
        <w:t>VR-Induced</w:t>
      </w:r>
      <w:r w:rsidR="00712AB0" w:rsidRPr="00712AB0">
        <w:rPr>
          <w:kern w:val="48"/>
        </w:rPr>
        <w:t xml:space="preserve"> Balance Monitoring via Tibialis EMG and Ground Reaction Forces Using Machine Learning</w:t>
      </w:r>
    </w:p>
    <w:p w14:paraId="1F960E65" w14:textId="77777777" w:rsidR="00D7522C" w:rsidRPr="00CA4392" w:rsidRDefault="00D7522C" w:rsidP="00CA4392">
      <w:pPr>
        <w:pStyle w:val="Author"/>
        <w:spacing w:before="5pt" w:beforeAutospacing="1" w:after="5pt" w:afterAutospacing="1" w:line="6pt" w:lineRule="auto"/>
        <w:rPr>
          <w:sz w:val="16"/>
          <w:szCs w:val="16"/>
        </w:rPr>
        <w:sectPr w:rsidR="00D7522C" w:rsidRPr="00CA4392" w:rsidSect="003B4E04">
          <w:footerReference w:type="first" r:id="rId8"/>
          <w:pgSz w:w="595.30pt" w:h="841.90pt" w:code="9"/>
          <w:pgMar w:top="27pt" w:right="44.65pt" w:bottom="72pt" w:left="44.65pt" w:header="36pt" w:footer="36pt" w:gutter="0pt"/>
          <w:cols w:space="36pt"/>
          <w:titlePg/>
          <w:docGrid w:linePitch="360"/>
        </w:sectPr>
      </w:pPr>
    </w:p>
    <w:p w14:paraId="5AB2FE26" w14:textId="6DFEB247" w:rsidR="00BD670B" w:rsidRDefault="001E6C17" w:rsidP="00BD670B">
      <w:pPr>
        <w:pStyle w:val="Author"/>
        <w:spacing w:before="5pt" w:beforeAutospacing="1"/>
        <w:rPr>
          <w:sz w:val="18"/>
          <w:szCs w:val="18"/>
        </w:rPr>
      </w:pPr>
      <w:r>
        <w:rPr>
          <w:sz w:val="18"/>
          <w:szCs w:val="18"/>
        </w:rPr>
        <w:t>Anas Ijaz</w:t>
      </w:r>
      <w:r w:rsidR="001A3B3D" w:rsidRPr="00F847A6">
        <w:rPr>
          <w:sz w:val="18"/>
          <w:szCs w:val="18"/>
        </w:rPr>
        <w:br/>
      </w:r>
      <w:r w:rsidR="00BB21CE" w:rsidRPr="008A12B4">
        <w:rPr>
          <w:i/>
          <w:iCs/>
          <w:sz w:val="18"/>
          <w:szCs w:val="18"/>
        </w:rPr>
        <w:t>Department of Biomedical Engineering</w:t>
      </w:r>
      <w:r w:rsidR="00D72D06" w:rsidRPr="008A12B4">
        <w:rPr>
          <w:i/>
          <w:iCs/>
          <w:sz w:val="18"/>
          <w:szCs w:val="18"/>
        </w:rPr>
        <w:br/>
      </w:r>
      <w:r w:rsidR="00BB21CE" w:rsidRPr="008A12B4">
        <w:rPr>
          <w:i/>
          <w:iCs/>
          <w:sz w:val="18"/>
          <w:szCs w:val="18"/>
        </w:rPr>
        <w:t>Air University</w:t>
      </w:r>
      <w:r w:rsidR="001A3B3D" w:rsidRPr="008A12B4">
        <w:rPr>
          <w:i/>
          <w:iCs/>
          <w:sz w:val="18"/>
          <w:szCs w:val="18"/>
        </w:rPr>
        <w:br/>
      </w:r>
      <w:r w:rsidR="00BB21CE" w:rsidRPr="004306CD">
        <w:rPr>
          <w:iCs/>
          <w:sz w:val="18"/>
          <w:szCs w:val="18"/>
        </w:rPr>
        <w:t>Islamabad, Pakistan</w:t>
      </w:r>
      <w:r w:rsidR="001A3B3D" w:rsidRPr="00F847A6">
        <w:rPr>
          <w:sz w:val="18"/>
          <w:szCs w:val="18"/>
        </w:rPr>
        <w:br/>
      </w:r>
      <w:hyperlink r:id="rId9" w:history="1">
        <w:r w:rsidRPr="00AA37E3">
          <w:rPr>
            <w:rStyle w:val="Hyperlink"/>
            <w:sz w:val="18"/>
            <w:szCs w:val="18"/>
          </w:rPr>
          <w:t>anasijaz157@gmail.com</w:t>
        </w:r>
      </w:hyperlink>
    </w:p>
    <w:p w14:paraId="42F2DCF0" w14:textId="5B25EE53" w:rsidR="00BB21CE" w:rsidRDefault="001E6C17" w:rsidP="00BD670B">
      <w:pPr>
        <w:pStyle w:val="Author"/>
        <w:spacing w:before="5pt" w:beforeAutospacing="1"/>
        <w:rPr>
          <w:sz w:val="18"/>
          <w:szCs w:val="18"/>
        </w:rPr>
      </w:pPr>
      <w:r>
        <w:rPr>
          <w:sz w:val="18"/>
          <w:szCs w:val="18"/>
        </w:rPr>
        <w:t>Zia Mohy-Ud-Din</w:t>
      </w:r>
      <w:r w:rsidRPr="00F847A6">
        <w:rPr>
          <w:sz w:val="18"/>
          <w:szCs w:val="18"/>
        </w:rPr>
        <w:t xml:space="preserve"> </w:t>
      </w:r>
      <w:r w:rsidRPr="00F847A6">
        <w:rPr>
          <w:sz w:val="18"/>
          <w:szCs w:val="18"/>
        </w:rPr>
        <w:br/>
      </w:r>
      <w:r w:rsidRPr="008A12B4">
        <w:rPr>
          <w:i/>
          <w:iCs/>
          <w:sz w:val="18"/>
          <w:szCs w:val="18"/>
        </w:rPr>
        <w:t>Department of Biomedical Engineering</w:t>
      </w:r>
      <w:r w:rsidRPr="008A12B4">
        <w:rPr>
          <w:i/>
          <w:iCs/>
          <w:sz w:val="18"/>
          <w:szCs w:val="18"/>
        </w:rPr>
        <w:br/>
        <w:t>Air University</w:t>
      </w:r>
      <w:r>
        <w:rPr>
          <w:sz w:val="18"/>
          <w:szCs w:val="18"/>
        </w:rPr>
        <w:t xml:space="preserve"> </w:t>
      </w:r>
      <w:r w:rsidRPr="00F847A6">
        <w:rPr>
          <w:i/>
          <w:sz w:val="18"/>
          <w:szCs w:val="18"/>
        </w:rPr>
        <w:t xml:space="preserve"> </w:t>
      </w:r>
      <w:r>
        <w:rPr>
          <w:i/>
          <w:sz w:val="18"/>
          <w:szCs w:val="18"/>
        </w:rPr>
        <w:br/>
      </w:r>
      <w:r w:rsidRPr="004306CD">
        <w:rPr>
          <w:sz w:val="18"/>
          <w:szCs w:val="18"/>
        </w:rPr>
        <w:t>Islamabad, Pakistan</w:t>
      </w:r>
      <w:r w:rsidRPr="00F847A6">
        <w:rPr>
          <w:i/>
          <w:sz w:val="18"/>
          <w:szCs w:val="18"/>
        </w:rPr>
        <w:br/>
      </w:r>
      <w:hyperlink r:id="rId10" w:history="1">
        <w:r w:rsidRPr="00B3614B">
          <w:rPr>
            <w:rStyle w:val="Hyperlink"/>
            <w:sz w:val="18"/>
            <w:szCs w:val="18"/>
          </w:rPr>
          <w:t>drzia@au.edu.pk</w:t>
        </w:r>
      </w:hyperlink>
    </w:p>
    <w:p w14:paraId="35795237" w14:textId="1A5DA0FC" w:rsidR="00BB21CE" w:rsidRDefault="00BD670B" w:rsidP="00BB21CE">
      <w:pPr>
        <w:pStyle w:val="Author"/>
        <w:spacing w:before="0pt"/>
      </w:pPr>
      <w:r>
        <w:rPr>
          <w:sz w:val="18"/>
          <w:szCs w:val="18"/>
        </w:rPr>
        <w:br w:type="column"/>
      </w:r>
      <w:r w:rsidR="001E6C17">
        <w:rPr>
          <w:sz w:val="18"/>
          <w:szCs w:val="18"/>
        </w:rPr>
        <w:t>Maria Amjad</w:t>
      </w:r>
      <w:r w:rsidR="001E6C17" w:rsidRPr="00F847A6">
        <w:rPr>
          <w:sz w:val="18"/>
          <w:szCs w:val="18"/>
        </w:rPr>
        <w:t xml:space="preserve"> </w:t>
      </w:r>
      <w:r w:rsidR="001A3B3D" w:rsidRPr="00F847A6">
        <w:rPr>
          <w:sz w:val="18"/>
          <w:szCs w:val="18"/>
        </w:rPr>
        <w:br/>
      </w:r>
      <w:r w:rsidR="00BB21CE" w:rsidRPr="008A12B4">
        <w:rPr>
          <w:i/>
          <w:iCs/>
          <w:sz w:val="18"/>
          <w:szCs w:val="18"/>
        </w:rPr>
        <w:t>Department of Biomedical Engineering</w:t>
      </w:r>
      <w:r w:rsidR="001A3B3D" w:rsidRPr="008A12B4">
        <w:rPr>
          <w:i/>
          <w:iCs/>
          <w:sz w:val="18"/>
          <w:szCs w:val="18"/>
        </w:rPr>
        <w:br/>
      </w:r>
      <w:r w:rsidR="00BB21CE" w:rsidRPr="008A12B4">
        <w:rPr>
          <w:i/>
          <w:iCs/>
          <w:sz w:val="18"/>
          <w:szCs w:val="18"/>
        </w:rPr>
        <w:t>Air University</w:t>
      </w:r>
      <w:r w:rsidR="00BB21CE">
        <w:rPr>
          <w:sz w:val="18"/>
          <w:szCs w:val="18"/>
        </w:rPr>
        <w:t xml:space="preserve"> </w:t>
      </w:r>
      <w:r w:rsidR="001A3B3D" w:rsidRPr="00F847A6">
        <w:rPr>
          <w:i/>
          <w:sz w:val="18"/>
          <w:szCs w:val="18"/>
        </w:rPr>
        <w:t xml:space="preserve"> </w:t>
      </w:r>
      <w:r w:rsidR="007B6DDA">
        <w:rPr>
          <w:i/>
          <w:sz w:val="18"/>
          <w:szCs w:val="18"/>
        </w:rPr>
        <w:br/>
      </w:r>
      <w:r w:rsidR="00BB21CE" w:rsidRPr="004306CD">
        <w:rPr>
          <w:sz w:val="18"/>
          <w:szCs w:val="18"/>
        </w:rPr>
        <w:t>Islamabad, Pakistan</w:t>
      </w:r>
      <w:r w:rsidR="001A3B3D" w:rsidRPr="00F847A6">
        <w:rPr>
          <w:i/>
          <w:sz w:val="18"/>
          <w:szCs w:val="18"/>
        </w:rPr>
        <w:br/>
      </w:r>
      <w:hyperlink r:id="rId11" w:history="1">
        <w:r w:rsidR="001E6C17" w:rsidRPr="00AA37E3">
          <w:rPr>
            <w:rStyle w:val="Hyperlink"/>
            <w:sz w:val="18"/>
            <w:szCs w:val="18"/>
          </w:rPr>
          <w:t>mariaamjad444@gmail.com</w:t>
        </w:r>
      </w:hyperlink>
    </w:p>
    <w:p w14:paraId="1E6A0AB7" w14:textId="20EED584" w:rsidR="001E6C17" w:rsidRDefault="001E6C17" w:rsidP="001E6C17">
      <w:pPr>
        <w:pStyle w:val="Author"/>
        <w:spacing w:before="5pt" w:beforeAutospacing="1"/>
        <w:rPr>
          <w:sz w:val="18"/>
          <w:szCs w:val="18"/>
        </w:rPr>
      </w:pPr>
      <w:r>
        <w:rPr>
          <w:sz w:val="18"/>
          <w:szCs w:val="18"/>
        </w:rPr>
        <w:t>Jahan Zeb Gul</w:t>
      </w:r>
      <w:r w:rsidRPr="00F847A6">
        <w:rPr>
          <w:sz w:val="18"/>
          <w:szCs w:val="18"/>
        </w:rPr>
        <w:t xml:space="preserve"> </w:t>
      </w:r>
      <w:r w:rsidRPr="00F847A6">
        <w:rPr>
          <w:sz w:val="18"/>
          <w:szCs w:val="18"/>
        </w:rPr>
        <w:br/>
      </w:r>
      <w:r w:rsidRPr="008A12B4">
        <w:rPr>
          <w:i/>
          <w:iCs/>
          <w:sz w:val="18"/>
          <w:szCs w:val="18"/>
        </w:rPr>
        <w:t>Department of Biomedical Engineering</w:t>
      </w:r>
      <w:r w:rsidRPr="008A12B4">
        <w:rPr>
          <w:i/>
          <w:iCs/>
          <w:sz w:val="18"/>
          <w:szCs w:val="18"/>
        </w:rPr>
        <w:br/>
      </w:r>
      <w:r>
        <w:rPr>
          <w:i/>
          <w:sz w:val="18"/>
          <w:szCs w:val="18"/>
        </w:rPr>
        <w:t>Maynooth University</w:t>
      </w:r>
      <w:r w:rsidRPr="00F847A6">
        <w:rPr>
          <w:i/>
          <w:sz w:val="18"/>
          <w:szCs w:val="18"/>
        </w:rPr>
        <w:t xml:space="preserve"> </w:t>
      </w:r>
      <w:r>
        <w:rPr>
          <w:i/>
          <w:sz w:val="18"/>
          <w:szCs w:val="18"/>
        </w:rPr>
        <w:br/>
      </w:r>
      <w:r>
        <w:rPr>
          <w:sz w:val="18"/>
          <w:szCs w:val="18"/>
        </w:rPr>
        <w:t>Maynooth</w:t>
      </w:r>
      <w:r w:rsidRPr="00F847A6">
        <w:rPr>
          <w:sz w:val="18"/>
          <w:szCs w:val="18"/>
        </w:rPr>
        <w:t xml:space="preserve">, </w:t>
      </w:r>
      <w:r>
        <w:rPr>
          <w:sz w:val="18"/>
          <w:szCs w:val="18"/>
        </w:rPr>
        <w:t>Ireland</w:t>
      </w:r>
      <w:r w:rsidRPr="00F847A6">
        <w:rPr>
          <w:i/>
          <w:sz w:val="18"/>
          <w:szCs w:val="18"/>
        </w:rPr>
        <w:br/>
      </w:r>
      <w:hyperlink r:id="rId12" w:history="1">
        <w:r w:rsidRPr="00B3614B">
          <w:rPr>
            <w:rStyle w:val="Hyperlink"/>
            <w:sz w:val="18"/>
            <w:szCs w:val="18"/>
          </w:rPr>
          <w:t>jahanzeb.gul@mu.ie</w:t>
        </w:r>
      </w:hyperlink>
    </w:p>
    <w:p w14:paraId="7F9F5418" w14:textId="77777777" w:rsidR="001E6C17" w:rsidRDefault="001E6C17" w:rsidP="00BB21CE">
      <w:pPr>
        <w:pStyle w:val="Author"/>
        <w:spacing w:before="0pt"/>
      </w:pPr>
    </w:p>
    <w:p w14:paraId="11C3FF66" w14:textId="53947D92" w:rsidR="001A3B3D" w:rsidRDefault="00BD670B" w:rsidP="00BB21CE">
      <w:pPr>
        <w:pStyle w:val="Author"/>
        <w:spacing w:before="0pt"/>
        <w:rPr>
          <w:i/>
          <w:iCs/>
          <w:sz w:val="18"/>
          <w:szCs w:val="18"/>
        </w:rPr>
      </w:pPr>
      <w:r>
        <w:rPr>
          <w:sz w:val="18"/>
          <w:szCs w:val="18"/>
        </w:rPr>
        <w:br w:type="column"/>
      </w:r>
      <w:r w:rsidR="00EC7119">
        <w:rPr>
          <w:sz w:val="18"/>
          <w:szCs w:val="18"/>
        </w:rPr>
        <w:t>Muhammad Omar Cheema</w:t>
      </w:r>
      <w:r w:rsidR="001A3B3D" w:rsidRPr="00F847A6">
        <w:rPr>
          <w:sz w:val="18"/>
          <w:szCs w:val="18"/>
        </w:rPr>
        <w:br/>
      </w:r>
      <w:r w:rsidR="00BB21CE" w:rsidRPr="00BB21CE">
        <w:rPr>
          <w:i/>
          <w:iCs/>
          <w:sz w:val="18"/>
          <w:szCs w:val="18"/>
        </w:rPr>
        <w:t>Department of Biomedical Engineering</w:t>
      </w:r>
      <w:r w:rsidR="001A3B3D" w:rsidRPr="00BB21CE">
        <w:rPr>
          <w:i/>
          <w:iCs/>
          <w:sz w:val="18"/>
          <w:szCs w:val="18"/>
        </w:rPr>
        <w:br/>
      </w:r>
      <w:r w:rsidR="00BB21CE" w:rsidRPr="00BB21CE">
        <w:rPr>
          <w:i/>
          <w:iCs/>
          <w:sz w:val="18"/>
          <w:szCs w:val="18"/>
        </w:rPr>
        <w:t>Air University</w:t>
      </w:r>
      <w:r w:rsidR="001A3B3D" w:rsidRPr="00BB21CE">
        <w:rPr>
          <w:i/>
          <w:iCs/>
          <w:sz w:val="18"/>
          <w:szCs w:val="18"/>
        </w:rPr>
        <w:br/>
      </w:r>
      <w:r w:rsidR="00BB21CE" w:rsidRPr="004306CD">
        <w:rPr>
          <w:iCs/>
          <w:sz w:val="18"/>
          <w:szCs w:val="18"/>
        </w:rPr>
        <w:t>Islamabad, Pakistan</w:t>
      </w:r>
      <w:r w:rsidR="001A3B3D" w:rsidRPr="00F847A6">
        <w:rPr>
          <w:sz w:val="18"/>
          <w:szCs w:val="18"/>
        </w:rPr>
        <w:br/>
      </w:r>
      <w:hyperlink r:id="rId13" w:history="1">
        <w:r w:rsidR="00EC7119" w:rsidRPr="0036588B">
          <w:rPr>
            <w:rStyle w:val="Hyperlink"/>
            <w:i/>
            <w:iCs/>
            <w:sz w:val="18"/>
            <w:szCs w:val="18"/>
          </w:rPr>
          <w:t>omar.cheema@au.edu.pk</w:t>
        </w:r>
      </w:hyperlink>
    </w:p>
    <w:p w14:paraId="2183C350" w14:textId="77777777" w:rsidR="00EC7119" w:rsidRDefault="00EC7119" w:rsidP="00BB21CE">
      <w:pPr>
        <w:pStyle w:val="Author"/>
        <w:spacing w:before="0pt"/>
      </w:pPr>
    </w:p>
    <w:p w14:paraId="144EDAA0" w14:textId="77777777" w:rsidR="0075556D" w:rsidRDefault="0075556D" w:rsidP="00BB21CE">
      <w:pPr>
        <w:pStyle w:val="Author"/>
        <w:spacing w:before="0pt"/>
      </w:pPr>
    </w:p>
    <w:p w14:paraId="37FD08BF" w14:textId="77777777" w:rsidR="0075556D" w:rsidRDefault="0075556D" w:rsidP="00BB21CE">
      <w:pPr>
        <w:pStyle w:val="Author"/>
        <w:spacing w:before="0pt"/>
        <w:rPr>
          <w:sz w:val="18"/>
          <w:szCs w:val="18"/>
        </w:rPr>
      </w:pPr>
    </w:p>
    <w:p w14:paraId="0310188A" w14:textId="77777777" w:rsidR="008A12B4" w:rsidRPr="00F847A6" w:rsidRDefault="008A12B4" w:rsidP="00BB21CE">
      <w:pPr>
        <w:pStyle w:val="Author"/>
        <w:spacing w:before="0pt"/>
        <w:rPr>
          <w:sz w:val="18"/>
          <w:szCs w:val="18"/>
        </w:rPr>
      </w:pPr>
    </w:p>
    <w:p w14:paraId="0316535E" w14:textId="77777777" w:rsidR="009F1D79" w:rsidRDefault="009F1D79" w:rsidP="00BB21CE">
      <w:pPr>
        <w:jc w:val="both"/>
        <w:sectPr w:rsidR="009F1D79" w:rsidSect="003B4E04">
          <w:type w:val="continuous"/>
          <w:pgSz w:w="595.30pt" w:h="841.90pt" w:code="9"/>
          <w:pgMar w:top="22.50pt" w:right="44.65pt" w:bottom="72pt" w:left="44.65pt" w:header="36pt" w:footer="36pt" w:gutter="0pt"/>
          <w:cols w:num="3" w:space="36pt"/>
          <w:docGrid w:linePitch="360"/>
        </w:sectPr>
      </w:pPr>
    </w:p>
    <w:p w14:paraId="0A88E65D" w14:textId="77777777" w:rsidR="009303D9" w:rsidRPr="005B520E" w:rsidRDefault="00BD670B">
      <w:pPr>
        <w:sectPr w:rsidR="009303D9" w:rsidRPr="005B520E" w:rsidSect="003B4E04">
          <w:type w:val="continuous"/>
          <w:pgSz w:w="595.30pt" w:h="841.90pt" w:code="9"/>
          <w:pgMar w:top="22.50pt" w:right="44.65pt" w:bottom="72pt" w:left="44.65pt" w:header="36pt" w:footer="36pt" w:gutter="0pt"/>
          <w:cols w:num="3" w:space="36pt"/>
          <w:docGrid w:linePitch="360"/>
        </w:sectPr>
      </w:pPr>
      <w:r>
        <w:br w:type="column"/>
      </w:r>
    </w:p>
    <w:p w14:paraId="40FA2D84" w14:textId="47BF15F1" w:rsidR="004D72B5" w:rsidRDefault="009303D9" w:rsidP="00972203">
      <w:pPr>
        <w:pStyle w:val="Abstract"/>
        <w:rPr>
          <w:i/>
          <w:iCs/>
        </w:rPr>
      </w:pPr>
      <w:r>
        <w:rPr>
          <w:i/>
          <w:iCs/>
        </w:rPr>
        <w:t>Abstract</w:t>
      </w:r>
      <w:r w:rsidR="00C97713">
        <w:t>—</w:t>
      </w:r>
      <w:r w:rsidR="001E6C17">
        <w:t>VR environments like Hyper Dash require dynamic movements to balance the body's posture</w:t>
      </w:r>
      <w:r w:rsidR="00712AB0" w:rsidRPr="00712AB0">
        <w:t>. The usage of VR has increased by 30% in the past five years in the domain of rehabilitation and motion sciences. Integrating the VR environments with the modalities like EMG, Ground Reaction forces</w:t>
      </w:r>
      <w:r w:rsidR="001E6C17">
        <w:t>,</w:t>
      </w:r>
      <w:r w:rsidR="00712AB0" w:rsidRPr="00712AB0">
        <w:t xml:space="preserve"> and Machine learning creates a framework </w:t>
      </w:r>
      <w:r w:rsidR="001E6C17">
        <w:t>that</w:t>
      </w:r>
      <w:r w:rsidR="00712AB0" w:rsidRPr="00712AB0">
        <w:t xml:space="preserve"> has a full potential </w:t>
      </w:r>
      <w:r w:rsidR="001E6C17">
        <w:t>for</w:t>
      </w:r>
      <w:r w:rsidR="00712AB0" w:rsidRPr="00712AB0">
        <w:t xml:space="preserve"> </w:t>
      </w:r>
      <w:r w:rsidR="001E6C17">
        <w:t>applications</w:t>
      </w:r>
      <w:r w:rsidR="00712AB0" w:rsidRPr="00712AB0">
        <w:t xml:space="preserve"> </w:t>
      </w:r>
      <w:r w:rsidR="001E6C17">
        <w:t>like</w:t>
      </w:r>
      <w:r w:rsidR="00712AB0" w:rsidRPr="00712AB0">
        <w:t xml:space="preserve"> rehabilitation of strokes and neuromuscular Disorders, </w:t>
      </w:r>
      <w:proofErr w:type="gramStart"/>
      <w:r w:rsidR="00712AB0" w:rsidRPr="00712AB0">
        <w:t>Fall</w:t>
      </w:r>
      <w:proofErr w:type="gramEnd"/>
      <w:r w:rsidR="00712AB0" w:rsidRPr="00712AB0">
        <w:t xml:space="preserve"> risk assessment</w:t>
      </w:r>
      <w:r w:rsidR="001E6C17">
        <w:t>,</w:t>
      </w:r>
      <w:r w:rsidR="00712AB0" w:rsidRPr="00712AB0">
        <w:t xml:space="preserve"> and Performance monitoring of athletes and patients. In this study, the EMG from the </w:t>
      </w:r>
      <w:proofErr w:type="spellStart"/>
      <w:r w:rsidR="001E6C17">
        <w:t>Tibialis</w:t>
      </w:r>
      <w:proofErr w:type="spellEnd"/>
      <w:r w:rsidR="001E6C17">
        <w:t xml:space="preserve"> Anterior muscle is acquired, which plays an important role in postural correction and foot clearance during gait, bilaterally, with the acquisition of Ground reaction forces. This offers close insights into pressure shifts, rate of force development, and </w:t>
      </w:r>
      <w:r w:rsidR="00712AB0" w:rsidRPr="00712AB0">
        <w:t xml:space="preserve">other features. Asymmetry Index (AI) is a quantitative approach </w:t>
      </w:r>
      <w:r w:rsidR="001E6C17">
        <w:t>that</w:t>
      </w:r>
      <w:r w:rsidR="00712AB0" w:rsidRPr="00712AB0">
        <w:t xml:space="preserve"> we have used in our study to observe the difference of performance between two limbs. So, if the AI is ≥ 15% body will be labeled as imbalanced. Supervised Machine learning was employed using the features from the EMG and GRF</w:t>
      </w:r>
      <w:r w:rsidR="001E6C17">
        <w:t>,</w:t>
      </w:r>
      <w:r w:rsidR="00712AB0" w:rsidRPr="00712AB0">
        <w:t xml:space="preserve"> and it achieved </w:t>
      </w:r>
      <w:r w:rsidR="001E6C17">
        <w:t xml:space="preserve">an </w:t>
      </w:r>
      <w:r w:rsidR="00712AB0" w:rsidRPr="00712AB0">
        <w:t xml:space="preserve">F1 score of 97%, </w:t>
      </w:r>
      <w:r w:rsidR="001E6C17">
        <w:t xml:space="preserve">an </w:t>
      </w:r>
      <w:r w:rsidR="00712AB0" w:rsidRPr="00712AB0">
        <w:t xml:space="preserve">Accuracy of 96% to detect the balanced/Imbalanced state of </w:t>
      </w:r>
      <w:r w:rsidR="00C97713">
        <w:t xml:space="preserve">the </w:t>
      </w:r>
      <w:r w:rsidR="00712AB0" w:rsidRPr="00712AB0">
        <w:t>body</w:t>
      </w:r>
      <w:r w:rsidR="008A12B4" w:rsidRPr="008A12B4">
        <w:t>.</w:t>
      </w:r>
    </w:p>
    <w:p w14:paraId="58B10678" w14:textId="364E5DE5" w:rsidR="009303D9" w:rsidRPr="004D72B5" w:rsidRDefault="004D72B5" w:rsidP="00972203">
      <w:pPr>
        <w:pStyle w:val="Keywords"/>
      </w:pPr>
      <w:r w:rsidRPr="004D72B5">
        <w:t>Keywords—</w:t>
      </w:r>
      <w:r w:rsidR="00712AB0" w:rsidRPr="00712AB0">
        <w:t>Neurorehabilitation, Balanced Prediction, Balance Monitoring, GRF Analysis, Asymmetry index</w:t>
      </w:r>
      <w:r w:rsidR="008A12B4">
        <w:t xml:space="preserve"> </w:t>
      </w:r>
    </w:p>
    <w:p w14:paraId="1A521F3C" w14:textId="4DECFBD6" w:rsidR="009303D9" w:rsidRPr="00D632BE" w:rsidRDefault="009303D9" w:rsidP="006B6B66">
      <w:pPr>
        <w:pStyle w:val="Heading1"/>
      </w:pPr>
      <w:r w:rsidRPr="00D632BE">
        <w:t xml:space="preserve">Introduction </w:t>
      </w:r>
    </w:p>
    <w:p w14:paraId="0FD67D36" w14:textId="77777777" w:rsidR="00712AB0" w:rsidRDefault="00712AB0" w:rsidP="00293B47">
      <w:pPr>
        <w:pStyle w:val="NormalWeb"/>
        <w:jc w:val="both"/>
        <w:rPr>
          <w:sz w:val="20"/>
          <w:szCs w:val="20"/>
          <w:lang w:val="en-US"/>
        </w:rPr>
      </w:pPr>
      <w:r w:rsidRPr="00712AB0">
        <w:rPr>
          <w:sz w:val="20"/>
          <w:szCs w:val="20"/>
          <w:lang w:val="en-US"/>
        </w:rPr>
        <w:t>The tibialis anterior muscle plays a vital role in controlling ankle dorsiflexion and keeping us upright. It’s essential for stabilizing our bodies when we’re standing still and during balance tasks, especially when things get a bit dynamic [4], [5]. Thanks to its quick response to swaying and its part in managing lower limb movements, it’s often the focus of surface electromyography (EMG) studies that look at how our muscles behave during balance [5,6].</w:t>
      </w:r>
    </w:p>
    <w:p w14:paraId="3324893D" w14:textId="6FF23CB4" w:rsidR="00712AB0" w:rsidRDefault="00712AB0" w:rsidP="00712AB0">
      <w:pPr>
        <w:pStyle w:val="NormalWeb"/>
        <w:jc w:val="both"/>
        <w:rPr>
          <w:sz w:val="20"/>
          <w:szCs w:val="20"/>
          <w:lang w:val="en-US"/>
        </w:rPr>
      </w:pPr>
      <w:r w:rsidRPr="00712AB0">
        <w:rPr>
          <w:sz w:val="20"/>
          <w:szCs w:val="20"/>
          <w:lang w:val="en-US"/>
        </w:rPr>
        <w:t xml:space="preserve"> </w:t>
      </w:r>
      <w:r>
        <w:rPr>
          <w:sz w:val="20"/>
          <w:szCs w:val="20"/>
          <w:lang w:val="en-US"/>
        </w:rPr>
        <w:t>W</w:t>
      </w:r>
      <w:r w:rsidRPr="00712AB0">
        <w:rPr>
          <w:sz w:val="20"/>
          <w:szCs w:val="20"/>
          <w:lang w:val="en-US"/>
        </w:rPr>
        <w:t xml:space="preserve">e utilized the BIOPAC MP36 system to capture muscle activity from both legs while participants engaged in a VR game. The MP36 is a popular choice in biomedical research because it can record various body signals, including EMG (muscle signals) [12,13,14,15], EHG (uterine contraction signals) [11], and EOG (electrical activity of eyes) [16]. It delivers precise and high-quality data, which is crucial for understanding how muscles function during movement. In </w:t>
      </w:r>
      <w:r w:rsidRPr="00712AB0">
        <w:rPr>
          <w:sz w:val="20"/>
          <w:szCs w:val="20"/>
          <w:lang w:val="en-US"/>
        </w:rPr>
        <w:t xml:space="preserve">our study, it enabled us to gather EMG signals from the tibialis anterior muscles, allowing us to explore balance and muscle coordination during both standing and gameplay. When it comes to Virtual Reality (VR), it brings about some pretty significant changes in our senses and cognitive processes. These shifts can lead to changes in how we maintain our posture as our brains deal with conflicting visual and proprioceptive information [7,8]. This kind of destabilization can trigger quick muscle responses, particularly in muscles like the tibialis anterior, which are quite sensitive to shifts in balance. </w:t>
      </w:r>
      <w:r w:rsidR="00C97713" w:rsidRPr="00712AB0">
        <w:rPr>
          <w:sz w:val="20"/>
          <w:szCs w:val="20"/>
          <w:lang w:val="en-US"/>
        </w:rPr>
        <w:t>That is</w:t>
      </w:r>
      <w:r w:rsidRPr="00712AB0">
        <w:rPr>
          <w:sz w:val="20"/>
          <w:szCs w:val="20"/>
          <w:lang w:val="en-US"/>
        </w:rPr>
        <w:t xml:space="preserve"> why VR serves as a great environment for studying how we adapt our posture</w:t>
      </w:r>
      <w:r w:rsidR="00C97713">
        <w:rPr>
          <w:sz w:val="20"/>
          <w:szCs w:val="20"/>
          <w:lang w:val="en-US"/>
        </w:rPr>
        <w:t>.</w:t>
      </w:r>
      <w:r w:rsidRPr="00712AB0">
        <w:rPr>
          <w:sz w:val="20"/>
          <w:szCs w:val="20"/>
          <w:lang w:val="en-US"/>
        </w:rPr>
        <w:t xml:space="preserve"> </w:t>
      </w:r>
      <w:r w:rsidR="00C97713">
        <w:rPr>
          <w:sz w:val="20"/>
          <w:szCs w:val="20"/>
          <w:lang w:val="en-US"/>
        </w:rPr>
        <w:t>I</w:t>
      </w:r>
      <w:r w:rsidR="00C97713" w:rsidRPr="00712AB0">
        <w:rPr>
          <w:sz w:val="20"/>
          <w:szCs w:val="20"/>
          <w:lang w:val="en-US"/>
        </w:rPr>
        <w:t>n</w:t>
      </w:r>
      <w:r w:rsidRPr="00712AB0">
        <w:rPr>
          <w:sz w:val="20"/>
          <w:szCs w:val="20"/>
          <w:lang w:val="en-US"/>
        </w:rPr>
        <w:t xml:space="preserve"> our study, we recorded EMG signals from both tibialis anterior muscles while participants played a fast-paced VR game called Hyper Dash</w:t>
      </w:r>
      <w:r w:rsidR="001E6C17">
        <w:rPr>
          <w:sz w:val="20"/>
          <w:szCs w:val="20"/>
          <w:lang w:val="en-US"/>
        </w:rPr>
        <w:t>.</w:t>
      </w:r>
      <w:r w:rsidRPr="00712AB0">
        <w:rPr>
          <w:sz w:val="20"/>
          <w:szCs w:val="20"/>
          <w:lang w:val="en-US"/>
        </w:rPr>
        <w:t xml:space="preserve"> Surface electromyography (EMG) was recorded bilaterally from the tibialis a</w:t>
      </w:r>
      <w:r w:rsidR="001E6C17">
        <w:rPr>
          <w:sz w:val="20"/>
          <w:szCs w:val="20"/>
          <w:lang w:val="en-US"/>
        </w:rPr>
        <w:t>nterior muscles using the BIOPAC</w:t>
      </w:r>
      <w:r w:rsidRPr="00712AB0">
        <w:rPr>
          <w:sz w:val="20"/>
          <w:szCs w:val="20"/>
          <w:lang w:val="en-US"/>
        </w:rPr>
        <w:t xml:space="preserve"> MP36 acquisition system, sampled at 1000 Hz. Electrodes </w:t>
      </w:r>
      <w:proofErr w:type="gramStart"/>
      <w:r w:rsidRPr="00712AB0">
        <w:rPr>
          <w:sz w:val="20"/>
          <w:szCs w:val="20"/>
          <w:lang w:val="en-US"/>
        </w:rPr>
        <w:t>were placed</w:t>
      </w:r>
      <w:proofErr w:type="gramEnd"/>
      <w:r w:rsidRPr="00712AB0">
        <w:rPr>
          <w:sz w:val="20"/>
          <w:szCs w:val="20"/>
          <w:lang w:val="en-US"/>
        </w:rPr>
        <w:t xml:space="preserve"> over the muscle belly, ensuring optimal signal quality and minimal crosstalk [9]. Simultaneously, ground reaction forces were recorded using the Capstone force plate, also sampled at 1000 Hz. Sensor assignments were grouped such that sensors 1 and 4 corresponded to the left leg, while sensors 2 and 3 represented the right. All signal streams were time-synchronized via a shared acquisition clock to preserve temporal alignment between neuromuscular and kinetic events, all while standing on a Capstone force plate. This setup allowed us to gather both neuromuscular and kinetic data.</w:t>
      </w:r>
    </w:p>
    <w:p w14:paraId="7AEB6AA5" w14:textId="64648943" w:rsidR="0012009A" w:rsidRPr="00712AB0" w:rsidRDefault="00712AB0" w:rsidP="00D95166">
      <w:pPr>
        <w:pStyle w:val="NormalWeb"/>
        <w:jc w:val="both"/>
        <w:rPr>
          <w:sz w:val="20"/>
          <w:szCs w:val="20"/>
          <w:lang w:val="en-US"/>
        </w:rPr>
      </w:pPr>
      <w:r w:rsidRPr="00712AB0">
        <w:rPr>
          <w:sz w:val="20"/>
          <w:szCs w:val="20"/>
          <w:lang w:val="en-US"/>
        </w:rPr>
        <w:t xml:space="preserve"> We broke the signals into 3-second segments and labeled them using an asymmetry index (AI) based on iEMG values. Our main contributions include a synchronized dataset of tibialis anterior EMG and force data collected during VR gameplay. An explanation of balance asymmetry grounded in muscle </w:t>
      </w:r>
      <w:r w:rsidR="00C97713">
        <w:rPr>
          <w:sz w:val="20"/>
          <w:szCs w:val="20"/>
          <w:lang w:val="en-US"/>
        </w:rPr>
        <w:t xml:space="preserve">activation. </w:t>
      </w:r>
      <w:r w:rsidRPr="00712AB0">
        <w:rPr>
          <w:sz w:val="20"/>
          <w:szCs w:val="20"/>
          <w:lang w:val="en-US"/>
        </w:rPr>
        <w:t xml:space="preserve">A lightweight </w:t>
      </w:r>
      <w:r w:rsidR="00C97713" w:rsidRPr="00712AB0">
        <w:rPr>
          <w:sz w:val="20"/>
          <w:szCs w:val="20"/>
          <w:lang w:val="en-US"/>
        </w:rPr>
        <w:t>machine-learning</w:t>
      </w:r>
      <w:r w:rsidRPr="00712AB0">
        <w:rPr>
          <w:sz w:val="20"/>
          <w:szCs w:val="20"/>
          <w:lang w:val="en-US"/>
        </w:rPr>
        <w:t xml:space="preserve"> model designed for real-time classification of postural states.</w:t>
      </w:r>
    </w:p>
    <w:p w14:paraId="179EA777" w14:textId="2DC1CA19" w:rsidR="009303D9" w:rsidRPr="006B6B66" w:rsidRDefault="00BB21CE" w:rsidP="006B6B66">
      <w:pPr>
        <w:pStyle w:val="Heading1"/>
      </w:pPr>
      <w:r>
        <w:t xml:space="preserve">Methodology </w:t>
      </w:r>
    </w:p>
    <w:p w14:paraId="3C8B3FFF" w14:textId="1011940B" w:rsidR="009303D9" w:rsidRDefault="00712AB0" w:rsidP="00ED0149">
      <w:pPr>
        <w:pStyle w:val="Heading2"/>
      </w:pPr>
      <w:r>
        <w:t>Particpants</w:t>
      </w:r>
    </w:p>
    <w:p w14:paraId="65DFD587" w14:textId="3DC4E3D7" w:rsidR="00BB21CE" w:rsidRPr="005B520E" w:rsidRDefault="00712AB0" w:rsidP="00712AB0">
      <w:pPr>
        <w:pStyle w:val="BodyText"/>
        <w:ind w:firstLine="0pt"/>
      </w:pPr>
      <w:r w:rsidRPr="00712AB0">
        <w:rPr>
          <w:lang w:val="en-US"/>
        </w:rPr>
        <w:t xml:space="preserve">In this study, eight healthy adult volunteers, aged between 22 and 30 (including </w:t>
      </w:r>
      <w:r w:rsidR="00C97713" w:rsidRPr="00712AB0">
        <w:rPr>
          <w:lang w:val="en-US"/>
        </w:rPr>
        <w:t>five</w:t>
      </w:r>
      <w:r w:rsidRPr="00712AB0">
        <w:rPr>
          <w:lang w:val="en-US"/>
        </w:rPr>
        <w:t xml:space="preserve"> males and </w:t>
      </w:r>
      <w:r w:rsidR="00C97713" w:rsidRPr="00712AB0">
        <w:rPr>
          <w:lang w:val="en-US"/>
        </w:rPr>
        <w:t>two</w:t>
      </w:r>
      <w:r w:rsidRPr="00712AB0">
        <w:rPr>
          <w:lang w:val="en-US"/>
        </w:rPr>
        <w:t xml:space="preserve"> females), took part after </w:t>
      </w:r>
      <w:r w:rsidRPr="00712AB0">
        <w:rPr>
          <w:lang w:val="en-US"/>
        </w:rPr>
        <w:lastRenderedPageBreak/>
        <w:t>giving their written informed consent. All participants had either normal vision or corrected vision, no known issues with neuromuscular function or balance, and they had previous experience with virtual reality (VR) to help minimize any adaptation bias</w:t>
      </w:r>
    </w:p>
    <w:p w14:paraId="4F8B7118" w14:textId="0FACAC66" w:rsidR="006E64F7" w:rsidRDefault="00712AB0" w:rsidP="00712AB0">
      <w:pPr>
        <w:pStyle w:val="Heading2"/>
      </w:pPr>
      <w:r w:rsidRPr="00712AB0">
        <w:t>Experimental setup</w:t>
      </w:r>
      <w:r w:rsidR="00BB21CE">
        <w:t xml:space="preserve"> </w:t>
      </w:r>
    </w:p>
    <w:p w14:paraId="3CE6212D" w14:textId="4565923C" w:rsidR="00712AB0" w:rsidRDefault="00712AB0" w:rsidP="00712AB0">
      <w:pPr>
        <w:jc w:val="both"/>
      </w:pPr>
      <w:r w:rsidRPr="00712AB0">
        <w:t xml:space="preserve">Surface electromyography (EMG) was recorded bilaterally from the tibialis anterior muscles using the </w:t>
      </w:r>
      <w:r w:rsidR="001E6C17" w:rsidRPr="00712AB0">
        <w:t>BIOPAC</w:t>
      </w:r>
      <w:r w:rsidRPr="00712AB0">
        <w:t xml:space="preserve"> MP36 acquisition system, sampled at 1000 Hz. Electrodes were placed over the muscle belly</w:t>
      </w:r>
      <w:r w:rsidR="00C97713">
        <w:t>.</w:t>
      </w:r>
      <w:r w:rsidRPr="00712AB0">
        <w:t xml:space="preserve"> Simultaneously, ground reaction forces were recorded using the Capstone force plate, also sampled at 1000 Hz. Sensor assignments were grouped such that sensors 1 and 4 corresponded to the left leg, while sensors 2 and 3 represented the right. All signal streams were time-synchronized via a shared acquisition clock to preserve temporal alignment between neuromuscular and kinetic events. Each volunteer stood on a Capstone force plate while engaging in a continuous 3-minute VR gameplay session of Hyper Dash, a </w:t>
      </w:r>
      <w:r w:rsidR="001E6C17">
        <w:t>fast-paced</w:t>
      </w:r>
      <w:r w:rsidRPr="00712AB0">
        <w:t xml:space="preserve">, movement-oriented combat game played through the Oculus Quest 2 headset. This game was chosen for its quick and reactive movements, which are known to put the sensory and motor systems that help regulate balance to the test. </w:t>
      </w:r>
      <w:r w:rsidR="001E6C17">
        <w:t>Below</w:t>
      </w:r>
      <w:r w:rsidRPr="00712AB0">
        <w:t xml:space="preserve"> is the Block Diagram of the experimental setup for better understanding:</w:t>
      </w:r>
    </w:p>
    <w:p w14:paraId="2184C889" w14:textId="77777777" w:rsidR="00712AB0" w:rsidRDefault="00712AB0" w:rsidP="00712AB0">
      <w:pPr>
        <w:jc w:val="both"/>
      </w:pPr>
    </w:p>
    <w:p w14:paraId="1D3DAB63" w14:textId="77777777" w:rsidR="00712AB0" w:rsidRDefault="00712AB0" w:rsidP="00712AB0">
      <w:pPr>
        <w:keepNext/>
        <w:jc w:val="both"/>
      </w:pPr>
      <w:r>
        <w:rPr>
          <w:noProof/>
        </w:rPr>
        <w:drawing>
          <wp:inline distT="0" distB="0" distL="0" distR="0" wp14:anchorId="7B08FDA3" wp14:editId="4107535B">
            <wp:extent cx="2898000" cy="1440000"/>
            <wp:effectExtent l="0" t="0" r="0" b="8255"/>
            <wp:docPr id="1630174888" name="Picture 4"/>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630174888" name="Picture 1630174888"/>
                    <pic:cNvPicPr/>
                  </pic:nvPicPr>
                  <pic:blipFill rotWithShape="1">
                    <a:blip r:embed="rId14" cstate="print">
                      <a:extLst>
                        <a:ext uri="{28A0092B-C50C-407E-A947-70E740481C1C}">
                          <a14:useLocalDpi xmlns:a14="http://schemas.microsoft.com/office/drawing/2010/main" val="0"/>
                        </a:ext>
                      </a:extLst>
                    </a:blip>
                    <a:srcRect b="17.18%"/>
                    <a:stretch>
                      <a:fillRect/>
                    </a:stretch>
                  </pic:blipFill>
                  <pic:spPr bwMode="auto">
                    <a:xfrm>
                      <a:off x="0" y="0"/>
                      <a:ext cx="2898000" cy="1440000"/>
                    </a:xfrm>
                    <a:prstGeom prst="rect">
                      <a:avLst/>
                    </a:prstGeom>
                    <a:ln>
                      <a:noFill/>
                    </a:ln>
                    <a:extLst>
                      <a:ext uri="{53640926-AAD7-44D8-BBD7-CCE9431645EC}">
                        <a14:shadowObscured xmlns:a14="http://schemas.microsoft.com/office/drawing/2010/main"/>
                      </a:ext>
                    </a:extLst>
                  </pic:spPr>
                </pic:pic>
              </a:graphicData>
            </a:graphic>
          </wp:inline>
        </w:drawing>
      </w:r>
    </w:p>
    <w:p w14:paraId="52252880" w14:textId="234B95A5" w:rsidR="00712AB0" w:rsidRPr="00712AB0" w:rsidRDefault="00712AB0" w:rsidP="00712AB0">
      <w:pPr>
        <w:pStyle w:val="Caption"/>
      </w:pPr>
      <w:r>
        <w:t xml:space="preserve">Figure </w:t>
      </w:r>
      <w:r w:rsidR="00C80484">
        <w:fldChar w:fldCharType="begin"/>
      </w:r>
      <w:r w:rsidR="00C80484">
        <w:instrText xml:space="preserve"> SEQ Figure \* ARABIC </w:instrText>
      </w:r>
      <w:r w:rsidR="00C80484">
        <w:fldChar w:fldCharType="separate"/>
      </w:r>
      <w:r w:rsidR="00293B47">
        <w:rPr>
          <w:noProof/>
        </w:rPr>
        <w:t>1</w:t>
      </w:r>
      <w:r w:rsidR="00C80484">
        <w:rPr>
          <w:noProof/>
        </w:rPr>
        <w:fldChar w:fldCharType="end"/>
      </w:r>
      <w:r>
        <w:t>:</w:t>
      </w:r>
      <w:r w:rsidRPr="00AC5A4E">
        <w:t>Experimental Setup</w:t>
      </w:r>
    </w:p>
    <w:p w14:paraId="28030715" w14:textId="65599BC9" w:rsidR="006E64F7" w:rsidRDefault="00712AB0" w:rsidP="006E64F7">
      <w:pPr>
        <w:pStyle w:val="Heading2"/>
      </w:pPr>
      <w:r>
        <w:t>Features</w:t>
      </w:r>
    </w:p>
    <w:p w14:paraId="5045A2C1" w14:textId="324CF830" w:rsidR="006E64F7" w:rsidRDefault="00712AB0" w:rsidP="00293B47">
      <w:pPr>
        <w:pStyle w:val="BodyText"/>
        <w:ind w:firstLine="0pt"/>
        <w:rPr>
          <w:lang w:val="en-US"/>
        </w:rPr>
      </w:pPr>
      <w:r w:rsidRPr="00712AB0">
        <w:rPr>
          <w:lang w:val="en-US"/>
        </w:rPr>
        <w:t>For every 3-second segment, we pulled out a range of physiologically relevant features from both EMG and force plate data to get a clear picture of balance-related neuromuscular and kinetic behavior. These features were carefully selected because of their known importance in controlling posture, detecting asymmetry, and monitoring dynamic stability. The Asymmetry Index (AI) served as our main labeling metric. It shows the percentage difference in iEMG values between the left and right tibialis anterior muscles, calculated like using the equation 1</w:t>
      </w:r>
    </w:p>
    <w:p w14:paraId="66D6305D" w14:textId="2FF18AB8" w:rsidR="00712AB0" w:rsidRPr="000E538F" w:rsidRDefault="000E538F" w:rsidP="00293B47">
      <w:pPr>
        <w:pStyle w:val="BodyText"/>
        <w:ind w:firstLine="0pt"/>
        <w:rPr>
          <w:i/>
        </w:rPr>
      </w:pPr>
      <m:oMathPara>
        <m:oMathParaPr>
          <m:jc m:val="center"/>
        </m:oMathParaPr>
        <m:oMath>
          <m:r>
            <w:rPr>
              <w:rFonts w:ascii="Cambria Math" w:hAnsi="Cambria Math"/>
            </w:rPr>
            <m:t xml:space="preserve">AI= </m:t>
          </m:r>
          <m:f>
            <m:fPr>
              <m:ctrlPr>
                <w:rPr>
                  <w:rFonts w:ascii="Cambria Math" w:hAnsi="Cambria Math"/>
                  <w:i/>
                </w:rPr>
              </m:ctrlPr>
            </m:fPr>
            <m:num>
              <m:r>
                <w:rPr>
                  <w:rFonts w:ascii="Cambria Math" w:hAnsi="Cambria Math"/>
                  <w:lang w:val="en-US"/>
                </w:rPr>
                <m:t>|iEMGleft-iEMGright|</m:t>
              </m:r>
            </m:num>
            <m:den>
              <m:r>
                <w:rPr>
                  <w:rFonts w:ascii="Cambria Math" w:hAnsi="Cambria Math"/>
                  <w:lang w:val="en-US"/>
                </w:rPr>
                <m:t>(iEMGleft+iEMGright)/2</m:t>
              </m:r>
            </m:den>
          </m:f>
          <m:r>
            <w:rPr>
              <w:rFonts w:ascii="Cambria Math" w:hAnsi="Cambria Math"/>
            </w:rPr>
            <m:t xml:space="preserve"> × 100                      </m:t>
          </m:r>
          <m:r>
            <w:rPr>
              <w:rFonts w:ascii="Cambria Math" w:hAnsi="Cambria Math"/>
            </w:rPr>
            <m:t>(1)</m:t>
          </m:r>
        </m:oMath>
      </m:oMathPara>
    </w:p>
    <w:p w14:paraId="3AA563A7" w14:textId="77777777" w:rsidR="000E538F" w:rsidRDefault="000E538F" w:rsidP="00293B47">
      <w:pPr>
        <w:pStyle w:val="BodyText"/>
        <w:ind w:firstLine="0pt"/>
        <w:rPr>
          <w:iCs/>
          <w:lang w:val="en-US"/>
        </w:rPr>
      </w:pPr>
      <w:r w:rsidRPr="000E538F">
        <w:rPr>
          <w:iCs/>
          <w:lang w:val="en-US"/>
        </w:rPr>
        <w:t xml:space="preserve">This metric is commonly used in both clinical and performance environments to identify muscle imbalances during dynamic movements [7], [8]. A threshold of 15% was chosen based on existing literature to differentiate between normal and imbalanced activation patterns [9], [10]. </w:t>
      </w:r>
    </w:p>
    <w:p w14:paraId="1884B8BD" w14:textId="5E1DDC9D" w:rsidR="000E538F" w:rsidRDefault="000E538F" w:rsidP="00293B47">
      <w:pPr>
        <w:pStyle w:val="BodyText"/>
        <w:ind w:firstLine="0pt"/>
        <w:rPr>
          <w:iCs/>
          <w:lang w:val="en-US"/>
        </w:rPr>
      </w:pPr>
      <w:r w:rsidRPr="000E538F">
        <w:rPr>
          <w:iCs/>
          <w:lang w:val="en-US"/>
        </w:rPr>
        <w:t>We calculated the Integrated EMG (iEMG) using Equation 2 for both the left and right muscles as the area under the rectified EMG envelope:</w:t>
      </w:r>
    </w:p>
    <w:p w14:paraId="1A1D0783" w14:textId="298B0A2E" w:rsidR="000E538F" w:rsidRPr="000E538F" w:rsidRDefault="000E538F" w:rsidP="00293B47">
      <w:pPr>
        <w:pStyle w:val="BodyText"/>
        <w:ind w:firstLine="0pt"/>
        <w:rPr>
          <w:i/>
          <w:iCs/>
        </w:rPr>
      </w:pPr>
      <m:oMathPara>
        <m:oMathParaPr>
          <m:jc m:val="center"/>
        </m:oMathParaPr>
        <m:oMath>
          <m:r>
            <w:rPr>
              <w:rFonts w:ascii="Cambria Math" w:hAnsi="Cambria Math"/>
            </w:rPr>
            <m:t xml:space="preserve">iEMG= </m:t>
          </m:r>
          <m:nary>
            <m:naryPr>
              <m:chr m:val="∑"/>
              <m:ctrlPr>
                <w:rPr>
                  <w:rFonts w:ascii="Cambria Math" w:hAnsi="Cambria Math"/>
                  <w:i/>
                  <w:iCs/>
                </w:rPr>
              </m:ctrlPr>
            </m:naryPr>
            <m:sub>
              <m:r>
                <w:rPr>
                  <w:rFonts w:ascii="Cambria Math" w:hAnsi="Cambria Math"/>
                </w:rPr>
                <m:t>n=1</m:t>
              </m:r>
            </m:sub>
            <m:sup>
              <m:r>
                <w:rPr>
                  <w:rFonts w:ascii="Cambria Math" w:hAnsi="Cambria Math"/>
                </w:rPr>
                <m:t>N</m:t>
              </m:r>
            </m:sup>
            <m:e>
              <m:d>
                <m:dPr>
                  <m:begChr m:val="|"/>
                  <m:endChr m:val="|"/>
                  <m:ctrlPr>
                    <w:rPr>
                      <w:rFonts w:ascii="Cambria Math" w:hAnsi="Cambria Math"/>
                      <w:i/>
                    </w:rPr>
                  </m:ctrlPr>
                </m:dPr>
                <m:e>
                  <m:r>
                    <w:rPr>
                      <w:rFonts w:ascii="Cambria Math" w:hAnsi="Cambria Math"/>
                    </w:rPr>
                    <m:t>EMG</m:t>
                  </m:r>
                  <m:d>
                    <m:dPr>
                      <m:ctrlPr>
                        <w:rPr>
                          <w:rFonts w:ascii="Cambria Math" w:hAnsi="Cambria Math"/>
                          <w:i/>
                        </w:rPr>
                      </m:ctrlPr>
                    </m:dPr>
                    <m:e>
                      <m:r>
                        <w:rPr>
                          <w:rFonts w:ascii="Cambria Math" w:hAnsi="Cambria Math"/>
                        </w:rPr>
                        <m:t>n</m:t>
                      </m:r>
                    </m:e>
                  </m:d>
                </m:e>
              </m:d>
              <m:r>
                <w:rPr>
                  <w:rFonts w:ascii="Cambria Math" w:hAnsi="Cambria Math"/>
                </w:rPr>
                <m:t xml:space="preserve">                                                           </m:t>
              </m:r>
              <m:r>
                <w:rPr>
                  <w:rFonts w:ascii="Cambria Math" w:hAnsi="Cambria Math"/>
                </w:rPr>
                <m:t xml:space="preserve">(2) </m:t>
              </m:r>
            </m:e>
          </m:nary>
        </m:oMath>
      </m:oMathPara>
    </w:p>
    <w:p w14:paraId="36EE991C" w14:textId="61DBE88B" w:rsidR="000E538F" w:rsidRDefault="000E538F" w:rsidP="00293B47">
      <w:pPr>
        <w:pStyle w:val="BodyText"/>
        <w:ind w:firstLine="0pt"/>
        <w:rPr>
          <w:lang w:val="en-US"/>
        </w:rPr>
      </w:pPr>
      <w:r w:rsidRPr="000E538F">
        <w:rPr>
          <w:lang w:val="en-US"/>
        </w:rPr>
        <w:t xml:space="preserve">This feature reflects the total muscle effort over time and </w:t>
      </w:r>
      <w:proofErr w:type="gramStart"/>
      <w:r w:rsidRPr="000E538F">
        <w:rPr>
          <w:lang w:val="en-US"/>
        </w:rPr>
        <w:t>has been linked</w:t>
      </w:r>
      <w:proofErr w:type="gramEnd"/>
      <w:r w:rsidRPr="000E538F">
        <w:rPr>
          <w:lang w:val="en-US"/>
        </w:rPr>
        <w:t xml:space="preserve"> to fatigue, workload, and compensatory muscle recruitment</w:t>
      </w:r>
      <w:r w:rsidR="00C97713">
        <w:rPr>
          <w:lang w:val="en-US"/>
        </w:rPr>
        <w:t>.</w:t>
      </w:r>
      <w:r w:rsidRPr="000E538F">
        <w:rPr>
          <w:lang w:val="en-US"/>
        </w:rPr>
        <w:t xml:space="preserve"> Peak Activation, which is the highest rectified EMG amplitude recorded in each time window, was also analyzed. This measurement indicates quick bursts of muscle activation and has been shown to reflect how responsive the neuromuscular system is during balance challenges. The Mathematical Representation of the Peak Activation is given below as equation</w:t>
      </w:r>
      <w:r>
        <w:rPr>
          <w:lang w:val="en-US"/>
        </w:rPr>
        <w:t xml:space="preserve"> 3.</w:t>
      </w:r>
    </w:p>
    <w:p w14:paraId="5F0692D6" w14:textId="40A33E5E" w:rsidR="000E538F" w:rsidRPr="000E538F" w:rsidRDefault="000E538F" w:rsidP="000E538F">
      <w:pPr>
        <w:pStyle w:val="BodyText"/>
        <w:ind w:end="14.15pt" w:firstLine="0pt"/>
        <w:rPr>
          <w:lang w:val="en-US"/>
        </w:rPr>
      </w:pPr>
      <m:oMathPara>
        <m:oMath>
          <m:r>
            <w:rPr>
              <w:rFonts w:ascii="Cambria Math" w:hAnsi="Cambria Math"/>
              <w:lang w:val="en-US"/>
            </w:rPr>
            <m:t xml:space="preserve">peak = max </m:t>
          </m:r>
          <m:d>
            <m:dPr>
              <m:ctrlPr>
                <w:rPr>
                  <w:rFonts w:ascii="Cambria Math" w:hAnsi="Cambria Math"/>
                  <w:i/>
                  <w:lang w:val="en-US"/>
                </w:rPr>
              </m:ctrlPr>
            </m:dPr>
            <m:e>
              <m:d>
                <m:dPr>
                  <m:begChr m:val="|"/>
                  <m:endChr m:val="|"/>
                  <m:ctrlPr>
                    <w:rPr>
                      <w:rFonts w:ascii="Cambria Math" w:hAnsi="Cambria Math"/>
                      <w:i/>
                      <w:lang w:val="en-US"/>
                    </w:rPr>
                  </m:ctrlPr>
                </m:dPr>
                <m:e>
                  <m:r>
                    <w:rPr>
                      <w:rFonts w:ascii="Cambria Math" w:hAnsi="Cambria Math"/>
                      <w:lang w:val="en-US"/>
                    </w:rPr>
                    <m:t>EMG</m:t>
                  </m:r>
                  <m:d>
                    <m:dPr>
                      <m:ctrlPr>
                        <w:rPr>
                          <w:rFonts w:ascii="Cambria Math" w:hAnsi="Cambria Math"/>
                          <w:i/>
                          <w:lang w:val="en-US"/>
                        </w:rPr>
                      </m:ctrlPr>
                    </m:dPr>
                    <m:e>
                      <m:r>
                        <w:rPr>
                          <w:rFonts w:ascii="Cambria Math" w:hAnsi="Cambria Math"/>
                          <w:lang w:val="en-US"/>
                        </w:rPr>
                        <m:t>n</m:t>
                      </m:r>
                    </m:e>
                  </m:d>
                </m:e>
              </m:d>
            </m:e>
          </m:d>
          <m:r>
            <w:rPr>
              <w:rFonts w:ascii="Cambria Math" w:hAnsi="Cambria Math"/>
              <w:lang w:val="en-US"/>
            </w:rPr>
            <m:t xml:space="preserve">                                              </m:t>
          </m:r>
          <m:r>
            <w:rPr>
              <w:rFonts w:ascii="Cambria Math" w:hAnsi="Cambria Math"/>
              <w:lang w:val="en-US"/>
            </w:rPr>
            <m:t>(3)</m:t>
          </m:r>
        </m:oMath>
      </m:oMathPara>
    </w:p>
    <w:p w14:paraId="7246DF10" w14:textId="519C64C1" w:rsidR="000E538F" w:rsidRDefault="000E538F" w:rsidP="00293B47">
      <w:pPr>
        <w:pStyle w:val="BodyText"/>
        <w:ind w:firstLine="0pt"/>
        <w:rPr>
          <w:lang w:val="en-US"/>
        </w:rPr>
      </w:pPr>
      <w:r w:rsidRPr="000E538F">
        <w:rPr>
          <w:lang w:val="en-US"/>
        </w:rPr>
        <w:t>We also looked at the Rate of Force Development (RFD) to measure how fast vertical force is produced. RFD is a well</w:t>
      </w:r>
      <w:r>
        <w:rPr>
          <w:lang w:val="en-US"/>
        </w:rPr>
        <w:t>-</w:t>
      </w:r>
      <w:r w:rsidRPr="000E538F">
        <w:rPr>
          <w:lang w:val="en-US"/>
        </w:rPr>
        <w:t xml:space="preserve">known indicator of explosive force generation and postural responsiveness, which is particularly crucial in situations that require quick motor </w:t>
      </w:r>
      <w:proofErr w:type="gramStart"/>
      <w:r w:rsidRPr="000E538F">
        <w:rPr>
          <w:lang w:val="en-US"/>
        </w:rPr>
        <w:t>adjustments</w:t>
      </w:r>
      <w:r w:rsidR="00C97713">
        <w:rPr>
          <w:lang w:val="en-US"/>
        </w:rPr>
        <w:t>,</w:t>
      </w:r>
      <w:proofErr w:type="gramEnd"/>
      <w:r w:rsidRPr="000E538F">
        <w:rPr>
          <w:lang w:val="en-US"/>
        </w:rPr>
        <w:t xml:space="preserve"> and its formula is given below as equation </w:t>
      </w:r>
      <w:r>
        <w:rPr>
          <w:lang w:val="en-US"/>
        </w:rPr>
        <w:t>4.</w:t>
      </w:r>
    </w:p>
    <w:p w14:paraId="537E2BBF" w14:textId="43615A04" w:rsidR="000D4D86" w:rsidRPr="000D4D86" w:rsidRDefault="000E538F" w:rsidP="00293B47">
      <w:pPr>
        <w:pStyle w:val="BodyText"/>
        <w:ind w:firstLine="0pt"/>
        <w:rPr>
          <w:lang w:val="en-US"/>
        </w:rPr>
      </w:pPr>
      <m:oMathPara>
        <m:oMath>
          <m:r>
            <w:rPr>
              <w:rFonts w:ascii="Cambria Math" w:hAnsi="Cambria Math"/>
              <w:lang w:val="en-US"/>
            </w:rPr>
            <m:t xml:space="preserve">RFD = </m:t>
          </m:r>
          <m:f>
            <m:fPr>
              <m:ctrlPr>
                <w:rPr>
                  <w:rFonts w:ascii="Cambria Math" w:hAnsi="Cambria Math"/>
                  <w:i/>
                  <w:lang w:val="en-US"/>
                </w:rPr>
              </m:ctrlPr>
            </m:fPr>
            <m:num>
              <m:r>
                <w:rPr>
                  <w:rFonts w:ascii="Cambria Math" w:hAnsi="Cambria Math"/>
                  <w:lang w:val="en-US"/>
                </w:rPr>
                <m:t xml:space="preserve">Fpeak-Fbase </m:t>
              </m:r>
            </m:num>
            <m:den>
              <m:r>
                <w:rPr>
                  <w:rFonts w:ascii="Cambria Math" w:hAnsi="Cambria Math"/>
                  <w:lang w:val="en-US"/>
                </w:rPr>
                <m:t xml:space="preserve">∆t </m:t>
              </m:r>
            </m:den>
          </m:f>
          <m:r>
            <w:rPr>
              <w:rFonts w:ascii="Cambria Math" w:hAnsi="Cambria Math"/>
              <w:lang w:val="en-US"/>
            </w:rPr>
            <m:t xml:space="preserve">                                                       </m:t>
          </m:r>
          <m:r>
            <w:rPr>
              <w:rFonts w:ascii="Cambria Math" w:hAnsi="Cambria Math"/>
              <w:lang w:val="en-US"/>
            </w:rPr>
            <m:t>(4)</m:t>
          </m:r>
        </m:oMath>
      </m:oMathPara>
    </w:p>
    <w:p w14:paraId="18375D77" w14:textId="77777777" w:rsidR="000D4D86" w:rsidRPr="000E538F" w:rsidRDefault="000D4D86" w:rsidP="00293B47">
      <w:pPr>
        <w:pStyle w:val="BodyText"/>
        <w:ind w:firstLine="0pt"/>
        <w:rPr>
          <w:lang w:val="en-US"/>
        </w:rPr>
      </w:pPr>
    </w:p>
    <w:p w14:paraId="44D06F29" w14:textId="77777777" w:rsidR="000D4D86" w:rsidRDefault="000D4D86" w:rsidP="00293B47">
      <w:pPr>
        <w:pStyle w:val="BodyText"/>
        <w:keepNext/>
        <w:ind w:firstLine="0pt"/>
        <w:jc w:val="center"/>
      </w:pPr>
      <w:r w:rsidRPr="000D4D86">
        <w:rPr>
          <w:noProof/>
          <w:lang w:val="en-US" w:eastAsia="en-US"/>
        </w:rPr>
        <w:drawing>
          <wp:inline distT="0" distB="0" distL="0" distR="0" wp14:anchorId="5720EDEE" wp14:editId="1F095E5F">
            <wp:extent cx="2858400" cy="1440000"/>
            <wp:effectExtent l="0" t="0" r="0" b="8255"/>
            <wp:docPr id="1189361225" name="Picture 1"/>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189361225" name=""/>
                    <pic:cNvPicPr/>
                  </pic:nvPicPr>
                  <pic:blipFill>
                    <a:blip r:embed="rId15"/>
                    <a:stretch>
                      <a:fillRect/>
                    </a:stretch>
                  </pic:blipFill>
                  <pic:spPr>
                    <a:xfrm>
                      <a:off x="0" y="0"/>
                      <a:ext cx="2858400" cy="1440000"/>
                    </a:xfrm>
                    <a:prstGeom prst="rect">
                      <a:avLst/>
                    </a:prstGeom>
                  </pic:spPr>
                </pic:pic>
              </a:graphicData>
            </a:graphic>
          </wp:inline>
        </w:drawing>
      </w:r>
    </w:p>
    <w:p w14:paraId="7ACF903D" w14:textId="72AC27DF" w:rsidR="000E538F" w:rsidRPr="000E538F" w:rsidRDefault="000D4D86" w:rsidP="00293B47">
      <w:pPr>
        <w:pStyle w:val="Caption"/>
      </w:pPr>
      <w:r>
        <w:t xml:space="preserve">Figure </w:t>
      </w:r>
      <w:r w:rsidR="00C80484">
        <w:fldChar w:fldCharType="begin"/>
      </w:r>
      <w:r w:rsidR="00C80484">
        <w:instrText xml:space="preserve"> SEQ Figure \* ARABIC </w:instrText>
      </w:r>
      <w:r w:rsidR="00C80484">
        <w:fldChar w:fldCharType="separate"/>
      </w:r>
      <w:r w:rsidR="00293B47">
        <w:rPr>
          <w:noProof/>
        </w:rPr>
        <w:t>2</w:t>
      </w:r>
      <w:r w:rsidR="00C80484">
        <w:rPr>
          <w:noProof/>
        </w:rPr>
        <w:fldChar w:fldCharType="end"/>
      </w:r>
      <w:r>
        <w:t xml:space="preserve">: </w:t>
      </w:r>
      <w:r w:rsidRPr="001D5B88">
        <w:t>Feature Extraction from the EMG and GRF</w:t>
      </w:r>
    </w:p>
    <w:p w14:paraId="34672242" w14:textId="77777777" w:rsidR="000E538F" w:rsidRPr="000E538F" w:rsidRDefault="000E538F" w:rsidP="00293B47">
      <w:pPr>
        <w:pStyle w:val="BodyText"/>
        <w:ind w:firstLine="0pt"/>
        <w:rPr>
          <w:lang w:val="en-US"/>
        </w:rPr>
      </w:pPr>
    </w:p>
    <w:p w14:paraId="2C62C540" w14:textId="65AA20FC" w:rsidR="006E64F7" w:rsidRDefault="000D4D86" w:rsidP="00293B47">
      <w:pPr>
        <w:pStyle w:val="Heading2"/>
      </w:pPr>
      <w:r>
        <w:t xml:space="preserve">ML Classification </w:t>
      </w:r>
      <w:r w:rsidR="006E64F7">
        <w:t xml:space="preserve"> </w:t>
      </w:r>
    </w:p>
    <w:p w14:paraId="770FDFDD" w14:textId="1F7B0650" w:rsidR="000D4D86" w:rsidRDefault="000D4D86" w:rsidP="00293B47">
      <w:pPr>
        <w:pStyle w:val="BodyText"/>
        <w:ind w:firstLine="0pt"/>
        <w:rPr>
          <w:lang w:val="en-US"/>
        </w:rPr>
      </w:pPr>
      <w:r w:rsidRPr="000D4D86">
        <w:rPr>
          <w:lang w:val="en-US"/>
        </w:rPr>
        <w:t xml:space="preserve">After we pulled features from each 3-second segment, we set up a machine learning pipeline to determine if the subject was in a balanced or imbalanced state. We based the classification label on the Asymmetry Index (AI), which we calculated using the iEMG values from the left and right tibialis anterior muscles. If the AI was under 15%, we labeled the segment as balanced; if it was 15% or higher, it was considered imbalanced. This threshold aligns with previous studies that highlight its significance in identifying postural asymmetry [10]. To create a meaningful input feature vector for each window, we combined both EMG-based features (like iEMG and peak activation) and kinetic features (such as the rate of force development and peak vertical force). This blended approach was chosen to minimize overfitting and enhance the model's generalizability, as research suggests that merging neuromuscular and force-based signals boosts classification robustness. We trained and evaluated several classification models using 10-fold cross-validation. The models we tested included logistic regression, k-nearest neighbors (KNN), support vector machines (SVM), Gaussian Navie Bayes and Linear Discriminant Analysis. In figure </w:t>
      </w:r>
      <w:r w:rsidR="00F67D14">
        <w:rPr>
          <w:lang w:val="en-US"/>
        </w:rPr>
        <w:t>3</w:t>
      </w:r>
      <w:r w:rsidRPr="000D4D86">
        <w:rPr>
          <w:lang w:val="en-US"/>
        </w:rPr>
        <w:t xml:space="preserve"> the whole architecture of the Machine learning pipeline is illustrated</w:t>
      </w:r>
    </w:p>
    <w:p w14:paraId="573B7105" w14:textId="77777777" w:rsidR="000D4D86" w:rsidRDefault="000D4D86" w:rsidP="000D4D86">
      <w:pPr>
        <w:pStyle w:val="BodyText"/>
        <w:keepNext/>
        <w:ind w:end="14.15pt" w:firstLine="0pt"/>
        <w:jc w:val="center"/>
      </w:pPr>
      <w:r>
        <w:rPr>
          <w:noProof/>
          <w:lang w:val="en-US" w:eastAsia="en-US"/>
        </w:rPr>
        <w:lastRenderedPageBreak/>
        <w:drawing>
          <wp:inline distT="0" distB="0" distL="0" distR="0" wp14:anchorId="0D2D95F3" wp14:editId="118EC6B4">
            <wp:extent cx="2700000" cy="1440000"/>
            <wp:effectExtent l="0" t="0" r="5715" b="8255"/>
            <wp:docPr id="1690766282" name="Picture 1"/>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00000" cy="1440000"/>
                    </a:xfrm>
                    <a:prstGeom prst="rect">
                      <a:avLst/>
                    </a:prstGeom>
                    <a:noFill/>
                    <a:ln>
                      <a:noFill/>
                    </a:ln>
                  </pic:spPr>
                </pic:pic>
              </a:graphicData>
            </a:graphic>
          </wp:inline>
        </w:drawing>
      </w:r>
    </w:p>
    <w:p w14:paraId="5774B30A" w14:textId="719C7F96" w:rsidR="006E64F7" w:rsidRPr="006E64F7" w:rsidRDefault="000D4D86" w:rsidP="00293B47">
      <w:pPr>
        <w:pStyle w:val="Caption"/>
        <w:ind w:end="14.15pt"/>
      </w:pPr>
      <w:r>
        <w:t xml:space="preserve">Figure </w:t>
      </w:r>
      <w:r w:rsidR="00C80484">
        <w:fldChar w:fldCharType="begin"/>
      </w:r>
      <w:r w:rsidR="00C80484">
        <w:instrText xml:space="preserve"> SEQ Figure \* ARABIC </w:instrText>
      </w:r>
      <w:r w:rsidR="00C80484">
        <w:fldChar w:fldCharType="separate"/>
      </w:r>
      <w:r w:rsidR="00293B47">
        <w:rPr>
          <w:noProof/>
        </w:rPr>
        <w:t>3</w:t>
      </w:r>
      <w:r w:rsidR="00C80484">
        <w:rPr>
          <w:noProof/>
        </w:rPr>
        <w:fldChar w:fldCharType="end"/>
      </w:r>
      <w:r>
        <w:t xml:space="preserve">: </w:t>
      </w:r>
      <w:r w:rsidRPr="003A205A">
        <w:t>Feature Extraction and Machine Learning Classification</w:t>
      </w:r>
    </w:p>
    <w:p w14:paraId="17F150FC" w14:textId="18A16FFE" w:rsidR="009303D9" w:rsidRDefault="002D0570" w:rsidP="006B6B66">
      <w:pPr>
        <w:pStyle w:val="Heading1"/>
      </w:pPr>
      <w:r>
        <w:t>Results</w:t>
      </w:r>
    </w:p>
    <w:p w14:paraId="22217789" w14:textId="0D9F7761" w:rsidR="009303D9" w:rsidRDefault="000D4D86" w:rsidP="00293B47">
      <w:pPr>
        <w:pStyle w:val="Heading2"/>
        <w:ind w:end="14.15pt"/>
      </w:pPr>
      <w:r w:rsidRPr="000D4D86">
        <w:t>Power spectral Analysis of EMG</w:t>
      </w:r>
    </w:p>
    <w:p w14:paraId="52CFD4D8" w14:textId="31DB361F" w:rsidR="000D4D86" w:rsidRDefault="000D4D86" w:rsidP="00293B47">
      <w:pPr>
        <w:pStyle w:val="BodyText"/>
        <w:ind w:firstLine="0pt"/>
        <w:rPr>
          <w:lang w:val="en-US"/>
        </w:rPr>
      </w:pPr>
      <w:r w:rsidRPr="000D4D86">
        <w:rPr>
          <w:lang w:val="en-US"/>
        </w:rPr>
        <w:t xml:space="preserve">The analysis of the Power Spectral Density (PSD) for tibialis anterior EMG signals from all seven participants showed a clear and consistent spectral profile across different trials. From figure </w:t>
      </w:r>
      <w:r w:rsidR="00F67D14">
        <w:rPr>
          <w:lang w:val="en-US"/>
        </w:rPr>
        <w:t>4</w:t>
      </w:r>
      <w:r w:rsidRPr="000D4D86">
        <w:rPr>
          <w:lang w:val="en-US"/>
        </w:rPr>
        <w:t xml:space="preserve"> and Figure </w:t>
      </w:r>
      <w:r w:rsidR="00F67D14">
        <w:rPr>
          <w:lang w:val="en-US"/>
        </w:rPr>
        <w:t>5</w:t>
      </w:r>
      <w:r w:rsidRPr="000D4D86">
        <w:rPr>
          <w:lang w:val="en-US"/>
        </w:rPr>
        <w:t xml:space="preserve"> we can clearly observe that </w:t>
      </w:r>
      <w:proofErr w:type="gramStart"/>
      <w:r w:rsidRPr="000D4D86">
        <w:rPr>
          <w:lang w:val="en-US"/>
        </w:rPr>
        <w:t>In</w:t>
      </w:r>
      <w:proofErr w:type="gramEnd"/>
      <w:r w:rsidRPr="000D4D86">
        <w:rPr>
          <w:lang w:val="en-US"/>
        </w:rPr>
        <w:t xml:space="preserve"> every instance, most of the signal power was found in the 30–100 Hz frequency range, with a gradual drop-off beyond 150 Hz.</w:t>
      </w:r>
    </w:p>
    <w:p w14:paraId="51A712F3" w14:textId="77777777" w:rsidR="000D4D86" w:rsidRDefault="000D4D86" w:rsidP="00293B47">
      <w:pPr>
        <w:pStyle w:val="BodyText"/>
        <w:ind w:firstLine="0pt"/>
        <w:rPr>
          <w:lang w:val="en-US"/>
        </w:rPr>
      </w:pPr>
      <w:r w:rsidRPr="000D4D86">
        <w:rPr>
          <w:lang w:val="en-US"/>
        </w:rPr>
        <w:t xml:space="preserve"> This pattern is typical of motor unit firing frequencies that occur during postural control and maintaining balance. There was minimal variation in spectral distribution among subjects, which suggests a stable pattern of muscle recruitment while navigating the dynamic balance challenges induced by VR.</w:t>
      </w:r>
    </w:p>
    <w:p w14:paraId="2EC2ABC2" w14:textId="0A253D23" w:rsidR="002D0570" w:rsidRDefault="000D4D86" w:rsidP="00293B47">
      <w:pPr>
        <w:pStyle w:val="BodyText"/>
        <w:ind w:firstLine="0pt"/>
      </w:pPr>
      <w:r w:rsidRPr="000D4D86">
        <w:rPr>
          <w:lang w:val="en-US"/>
        </w:rPr>
        <w:t xml:space="preserve"> The presence of strong low-frequency components across all participants indicates sustained muscle activation during an upright stance, while occasional spikes in high-frequency energy hint at brief reactive activations in response to the challenges presented by VR gameplay. These spectral similarities among participants enhance the reliability of the recorded EMG responses and reinforce the strength of the experimental protocol in capturing consistent neuromuscular signatures during immersive VR-based balance tasks.</w:t>
      </w:r>
    </w:p>
    <w:p w14:paraId="57750939" w14:textId="77777777" w:rsidR="00F67D14" w:rsidRDefault="00F67D14" w:rsidP="00293B47">
      <w:pPr>
        <w:pStyle w:val="BodyText"/>
        <w:keepNext/>
        <w:ind w:end="14.15pt"/>
        <w:jc w:val="start"/>
      </w:pPr>
      <w:r>
        <w:rPr>
          <w:noProof/>
          <w:lang w:val="en-US" w:eastAsia="en-US"/>
        </w:rPr>
        <w:drawing>
          <wp:inline distT="0" distB="0" distL="0" distR="0" wp14:anchorId="1D589924" wp14:editId="225A115F">
            <wp:extent cx="2794017" cy="1376363"/>
            <wp:effectExtent l="0" t="0" r="6350" b="0"/>
            <wp:docPr id="2011237445" name="Picture 2"/>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04247" cy="1381402"/>
                    </a:xfrm>
                    <a:prstGeom prst="rect">
                      <a:avLst/>
                    </a:prstGeom>
                    <a:noFill/>
                    <a:ln>
                      <a:noFill/>
                    </a:ln>
                  </pic:spPr>
                </pic:pic>
              </a:graphicData>
            </a:graphic>
          </wp:inline>
        </w:drawing>
      </w:r>
    </w:p>
    <w:p w14:paraId="4FCF7DE6" w14:textId="77AAFDFE" w:rsidR="002D0570" w:rsidRDefault="00F67D14" w:rsidP="00293B47">
      <w:pPr>
        <w:pStyle w:val="Caption"/>
        <w:ind w:end="14.15pt"/>
      </w:pPr>
      <w:r>
        <w:t xml:space="preserve">Figure </w:t>
      </w:r>
      <w:r w:rsidR="00C80484">
        <w:fldChar w:fldCharType="begin"/>
      </w:r>
      <w:r w:rsidR="00C80484">
        <w:instrText xml:space="preserve"> SEQ Figure \* ARABIC </w:instrText>
      </w:r>
      <w:r w:rsidR="00C80484">
        <w:fldChar w:fldCharType="separate"/>
      </w:r>
      <w:r w:rsidR="00293B47">
        <w:rPr>
          <w:noProof/>
        </w:rPr>
        <w:t>4</w:t>
      </w:r>
      <w:r w:rsidR="00C80484">
        <w:rPr>
          <w:noProof/>
        </w:rPr>
        <w:fldChar w:fldCharType="end"/>
      </w:r>
      <w:r>
        <w:t>:</w:t>
      </w:r>
      <w:r w:rsidRPr="00247E2B">
        <w:t xml:space="preserve">PSD </w:t>
      </w:r>
      <w:r>
        <w:t>of</w:t>
      </w:r>
      <w:r w:rsidRPr="00247E2B">
        <w:t xml:space="preserve"> EMG L</w:t>
      </w:r>
      <w:r>
        <w:t>eft</w:t>
      </w:r>
    </w:p>
    <w:p w14:paraId="7F1082BD" w14:textId="77777777" w:rsidR="00F67D14" w:rsidRDefault="00F67D14" w:rsidP="00293B47">
      <w:pPr>
        <w:pStyle w:val="Caption"/>
        <w:keepNext/>
        <w:ind w:end="14.15pt"/>
      </w:pPr>
      <w:r>
        <w:rPr>
          <w:noProof/>
        </w:rPr>
        <w:drawing>
          <wp:inline distT="0" distB="0" distL="0" distR="0" wp14:anchorId="67E13592" wp14:editId="666741F4">
            <wp:extent cx="2872800" cy="1440000"/>
            <wp:effectExtent l="0" t="0" r="3810" b="8255"/>
            <wp:docPr id="171383880" name="Picture 3"/>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72800" cy="1440000"/>
                    </a:xfrm>
                    <a:prstGeom prst="rect">
                      <a:avLst/>
                    </a:prstGeom>
                    <a:noFill/>
                    <a:ln>
                      <a:noFill/>
                    </a:ln>
                  </pic:spPr>
                </pic:pic>
              </a:graphicData>
            </a:graphic>
          </wp:inline>
        </w:drawing>
      </w:r>
    </w:p>
    <w:p w14:paraId="5DA2F542" w14:textId="1B2D12E0" w:rsidR="002D0570" w:rsidRDefault="00F67D14" w:rsidP="00293B47">
      <w:pPr>
        <w:pStyle w:val="Caption"/>
        <w:ind w:end="14.15pt"/>
      </w:pPr>
      <w:r>
        <w:t xml:space="preserve">Figure </w:t>
      </w:r>
      <w:r w:rsidR="00C80484">
        <w:fldChar w:fldCharType="begin"/>
      </w:r>
      <w:r w:rsidR="00C80484">
        <w:instrText xml:space="preserve"> SEQ Figure \* ARABIC </w:instrText>
      </w:r>
      <w:r w:rsidR="00C80484">
        <w:fldChar w:fldCharType="separate"/>
      </w:r>
      <w:r w:rsidR="00293B47">
        <w:rPr>
          <w:noProof/>
        </w:rPr>
        <w:t>5</w:t>
      </w:r>
      <w:r w:rsidR="00C80484">
        <w:rPr>
          <w:noProof/>
        </w:rPr>
        <w:fldChar w:fldCharType="end"/>
      </w:r>
      <w:r>
        <w:t xml:space="preserve">: </w:t>
      </w:r>
      <w:r w:rsidRPr="009C2F6D">
        <w:t xml:space="preserve">PSD </w:t>
      </w:r>
      <w:r>
        <w:t>of</w:t>
      </w:r>
      <w:r w:rsidRPr="009C2F6D">
        <w:t xml:space="preserve"> EMG Right</w:t>
      </w:r>
    </w:p>
    <w:p w14:paraId="1FB749B9" w14:textId="7B460889" w:rsidR="002D0570" w:rsidRDefault="002D0570" w:rsidP="00F67D14">
      <w:pPr>
        <w:pStyle w:val="Caption"/>
        <w:jc w:val="both"/>
      </w:pPr>
    </w:p>
    <w:p w14:paraId="3FCEE394" w14:textId="594CD453" w:rsidR="002D0570" w:rsidRDefault="00F67D14" w:rsidP="00293B47">
      <w:pPr>
        <w:pStyle w:val="Heading2"/>
      </w:pPr>
      <w:r>
        <w:t xml:space="preserve">Confusion Metrices </w:t>
      </w:r>
    </w:p>
    <w:p w14:paraId="2BB5B10E" w14:textId="4E24ACEB" w:rsidR="00F67D14" w:rsidRPr="00CB337D" w:rsidRDefault="00F67D14" w:rsidP="00293B47">
      <w:pPr>
        <w:jc w:val="both"/>
      </w:pPr>
      <w:r w:rsidRPr="00F67D14">
        <w:t xml:space="preserve">Confusion matrix helps us assess how well a classifier is performing by summarizing the comparison between predicted labels and actual labels. In this study, the labels are Balanced and Imbalanced. The diagonal value of the confusion metric indicated the true positives for each class while on the other instance of diagonal are the false negatives in the below figure </w:t>
      </w:r>
      <w:r>
        <w:t>6</w:t>
      </w:r>
      <w:r w:rsidRPr="00F67D14">
        <w:t xml:space="preserve"> confusion metrices of multiple Machine learning classifier are illustrated:</w:t>
      </w:r>
    </w:p>
    <w:p w14:paraId="21B68F07" w14:textId="13E7882B" w:rsidR="00305ADB" w:rsidRDefault="00305ADB" w:rsidP="00293B47">
      <w:pPr>
        <w:jc w:val="both"/>
      </w:pPr>
    </w:p>
    <w:p w14:paraId="6085946D" w14:textId="77777777" w:rsidR="0075556D" w:rsidRDefault="0075556D" w:rsidP="00293B47">
      <w:pPr>
        <w:jc w:val="both"/>
      </w:pPr>
    </w:p>
    <w:p w14:paraId="7A3F5A04" w14:textId="77777777" w:rsidR="00F67D14" w:rsidRDefault="00F67D14" w:rsidP="00293B47">
      <w:pPr>
        <w:keepNext/>
      </w:pPr>
      <w:r>
        <w:rPr>
          <w:noProof/>
        </w:rPr>
        <w:drawing>
          <wp:inline distT="0" distB="0" distL="0" distR="0" wp14:anchorId="0B4413C9" wp14:editId="0757B2FB">
            <wp:extent cx="2919019" cy="3276600"/>
            <wp:effectExtent l="0" t="0" r="0" b="0"/>
            <wp:docPr id="749715705" name="Picture 5"/>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962632" cy="3325556"/>
                    </a:xfrm>
                    <a:prstGeom prst="rect">
                      <a:avLst/>
                    </a:prstGeom>
                    <a:noFill/>
                    <a:ln>
                      <a:noFill/>
                    </a:ln>
                  </pic:spPr>
                </pic:pic>
              </a:graphicData>
            </a:graphic>
          </wp:inline>
        </w:drawing>
      </w:r>
    </w:p>
    <w:p w14:paraId="32962096" w14:textId="4164EFDE" w:rsidR="002D0570" w:rsidRPr="005B520E" w:rsidRDefault="00F67D14" w:rsidP="00293B47">
      <w:pPr>
        <w:pStyle w:val="Caption"/>
      </w:pPr>
      <w:r>
        <w:t xml:space="preserve">Figure </w:t>
      </w:r>
      <w:r w:rsidR="00C80484">
        <w:fldChar w:fldCharType="begin"/>
      </w:r>
      <w:r w:rsidR="00C80484">
        <w:instrText xml:space="preserve"> SEQ Figure </w:instrText>
      </w:r>
      <w:r w:rsidR="00C80484">
        <w:instrText xml:space="preserve">\* ARABIC </w:instrText>
      </w:r>
      <w:r w:rsidR="00C80484">
        <w:fldChar w:fldCharType="separate"/>
      </w:r>
      <w:r w:rsidR="00293B47">
        <w:rPr>
          <w:noProof/>
        </w:rPr>
        <w:t>6</w:t>
      </w:r>
      <w:r w:rsidR="00C80484">
        <w:rPr>
          <w:noProof/>
        </w:rPr>
        <w:fldChar w:fldCharType="end"/>
      </w:r>
      <w:r>
        <w:t xml:space="preserve">: </w:t>
      </w:r>
      <w:r w:rsidRPr="00221E54">
        <w:t xml:space="preserve"> Confusion Metrices</w:t>
      </w:r>
    </w:p>
    <w:p w14:paraId="31C0E164" w14:textId="7A0AF0DE" w:rsidR="009303D9" w:rsidRDefault="00F67D14" w:rsidP="00293B47">
      <w:pPr>
        <w:pStyle w:val="Heading2"/>
      </w:pPr>
      <w:r w:rsidRPr="00F67D14">
        <w:t>Performance Metrices</w:t>
      </w:r>
    </w:p>
    <w:p w14:paraId="1B2562C0" w14:textId="3578C81C" w:rsidR="00305ADB" w:rsidRDefault="00F67D14" w:rsidP="00293B47">
      <w:pPr>
        <w:jc w:val="both"/>
      </w:pPr>
      <w:r w:rsidRPr="00F67D14">
        <w:t xml:space="preserve">In this analysis, we calculated various evaluation metrics such as accuracy, precision, recall, and the F1 score using the confusion matrices displayed in Figure </w:t>
      </w:r>
      <w:r>
        <w:t>7</w:t>
      </w:r>
    </w:p>
    <w:p w14:paraId="514D3CE1" w14:textId="77777777" w:rsidR="00305ADB" w:rsidRPr="00305ADB" w:rsidRDefault="00305ADB" w:rsidP="00293B47"/>
    <w:p w14:paraId="4CA44EE3" w14:textId="77777777" w:rsidR="00F67D14" w:rsidRDefault="00F67D14" w:rsidP="00293B47">
      <w:pPr>
        <w:keepNext/>
      </w:pPr>
      <w:r>
        <w:rPr>
          <w:noProof/>
        </w:rPr>
        <w:drawing>
          <wp:inline distT="0" distB="0" distL="0" distR="0" wp14:anchorId="53E7B752" wp14:editId="15BAE7AE">
            <wp:extent cx="2955600" cy="1440000"/>
            <wp:effectExtent l="0" t="0" r="0" b="8255"/>
            <wp:docPr id="1494009868" name="Picture 6"/>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1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955600" cy="1440000"/>
                    </a:xfrm>
                    <a:prstGeom prst="rect">
                      <a:avLst/>
                    </a:prstGeom>
                    <a:noFill/>
                    <a:ln>
                      <a:noFill/>
                    </a:ln>
                  </pic:spPr>
                </pic:pic>
              </a:graphicData>
            </a:graphic>
          </wp:inline>
        </w:drawing>
      </w:r>
    </w:p>
    <w:p w14:paraId="76B7FA1F" w14:textId="18DCF83A" w:rsidR="00305ADB" w:rsidRDefault="00F67D14" w:rsidP="00293B47">
      <w:pPr>
        <w:pStyle w:val="Caption"/>
      </w:pPr>
      <w:r>
        <w:t xml:space="preserve">Figure </w:t>
      </w:r>
      <w:r w:rsidR="00C80484">
        <w:fldChar w:fldCharType="begin"/>
      </w:r>
      <w:r w:rsidR="00C80484">
        <w:instrText xml:space="preserve"> SEQ Figure \* ARABIC </w:instrText>
      </w:r>
      <w:r w:rsidR="00C80484">
        <w:fldChar w:fldCharType="separate"/>
      </w:r>
      <w:r w:rsidR="00293B47">
        <w:rPr>
          <w:noProof/>
        </w:rPr>
        <w:t>7</w:t>
      </w:r>
      <w:r w:rsidR="00C80484">
        <w:rPr>
          <w:noProof/>
        </w:rPr>
        <w:fldChar w:fldCharType="end"/>
      </w:r>
      <w:r>
        <w:t>:</w:t>
      </w:r>
      <w:r w:rsidRPr="009F7375">
        <w:t>Performance metrices</w:t>
      </w:r>
    </w:p>
    <w:p w14:paraId="7CE803BA" w14:textId="458EDC77" w:rsidR="001452D4" w:rsidRDefault="00F67D14" w:rsidP="00293B47">
      <w:pPr>
        <w:jc w:val="both"/>
      </w:pPr>
      <w:r w:rsidRPr="00F67D14">
        <w:t xml:space="preserve">The top performer of the them is the logistic regressions with an approximately AUC of 0.99 and precision and recall 0.99 and 0.97 respectively. Then comes SVM because it has a slight dip in recall and recall. KNN also perform well but its data driven and its results depend upon the better standard scalar if it is done correctly </w:t>
      </w:r>
      <w:proofErr w:type="gramStart"/>
      <w:r w:rsidRPr="00F67D14">
        <w:t>At</w:t>
      </w:r>
      <w:proofErr w:type="gramEnd"/>
      <w:r w:rsidRPr="00F67D14">
        <w:t xml:space="preserve"> the end Navie Bayes and LDA perform similar.</w:t>
      </w:r>
    </w:p>
    <w:p w14:paraId="3A680406" w14:textId="5BE99E01" w:rsidR="001452D4" w:rsidRDefault="001452D4" w:rsidP="00F67D14">
      <w:pPr>
        <w:pStyle w:val="Caption"/>
        <w:jc w:val="both"/>
      </w:pPr>
    </w:p>
    <w:p w14:paraId="5426D231" w14:textId="77777777" w:rsidR="001452D4" w:rsidRDefault="001452D4" w:rsidP="001452D4">
      <w:pPr>
        <w:jc w:val="both"/>
      </w:pPr>
    </w:p>
    <w:p w14:paraId="5DBE4C49" w14:textId="59A2F5C3" w:rsidR="001452D4" w:rsidRDefault="00293B47" w:rsidP="001452D4">
      <w:pPr>
        <w:pStyle w:val="Heading2"/>
      </w:pPr>
      <w:r>
        <w:t xml:space="preserve">ROC Curve </w:t>
      </w:r>
      <w:r w:rsidR="001452D4">
        <w:t xml:space="preserve"> </w:t>
      </w:r>
    </w:p>
    <w:p w14:paraId="08DDA3A9" w14:textId="4B4A68C0" w:rsidR="001452D4" w:rsidRDefault="00293B47" w:rsidP="00293B47">
      <w:pPr>
        <w:jc w:val="both"/>
      </w:pPr>
      <w:r w:rsidRPr="00293B47">
        <w:t xml:space="preserve">All five models showed impressive classification performance, with Logistic Regression taking the lead in terms of accuracy, precision, recall, F1 score, and ROC AUC. SVM (RBF) and LDA also delivered strong results, demonstrating their ability to effectively capture the patterns in the data. KNN maintained consistent performance, while Naive Bayes lagged a bit behind, likely because of its assumption that features are independent. In summary, the models are well-optimized, with Logistic Regression proving to be the best fit for this dataset. Below is the ROC Illustrated in the Figure </w:t>
      </w:r>
      <w:r>
        <w:t>8</w:t>
      </w:r>
      <w:r w:rsidRPr="00293B47">
        <w:t>:</w:t>
      </w:r>
    </w:p>
    <w:p w14:paraId="39DC466A" w14:textId="77777777" w:rsidR="001452D4" w:rsidRDefault="001452D4" w:rsidP="001452D4">
      <w:pPr>
        <w:ind w:end="14.15pt"/>
        <w:jc w:val="both"/>
      </w:pPr>
    </w:p>
    <w:p w14:paraId="11C0EDC8" w14:textId="77777777" w:rsidR="00293B47" w:rsidRDefault="00293B47" w:rsidP="00293B47">
      <w:pPr>
        <w:keepNext/>
      </w:pPr>
      <w:r>
        <w:rPr>
          <w:noProof/>
        </w:rPr>
        <w:drawing>
          <wp:inline distT="0" distB="0" distL="0" distR="0" wp14:anchorId="2D2582F6" wp14:editId="037C17D3">
            <wp:extent cx="3089910" cy="3515995"/>
            <wp:effectExtent l="0" t="0" r="0" b="8255"/>
            <wp:docPr id="1949394453" name="Picture 7"/>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1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089910" cy="3515995"/>
                    </a:xfrm>
                    <a:prstGeom prst="rect">
                      <a:avLst/>
                    </a:prstGeom>
                    <a:noFill/>
                    <a:ln>
                      <a:noFill/>
                    </a:ln>
                  </pic:spPr>
                </pic:pic>
              </a:graphicData>
            </a:graphic>
          </wp:inline>
        </w:drawing>
      </w:r>
    </w:p>
    <w:p w14:paraId="621C79F8" w14:textId="00A17A53" w:rsidR="0075556D" w:rsidRPr="0075556D" w:rsidRDefault="00293B47" w:rsidP="00293B47">
      <w:pPr>
        <w:pStyle w:val="Caption"/>
      </w:pPr>
      <w:r>
        <w:t xml:space="preserve">Figure </w:t>
      </w:r>
      <w:r w:rsidR="00C80484">
        <w:fldChar w:fldCharType="begin"/>
      </w:r>
      <w:r w:rsidR="00C80484">
        <w:instrText xml:space="preserve"> SEQ Figure \* ARABIC </w:instrText>
      </w:r>
      <w:r w:rsidR="00C80484">
        <w:fldChar w:fldCharType="separate"/>
      </w:r>
      <w:r>
        <w:rPr>
          <w:noProof/>
        </w:rPr>
        <w:t>8</w:t>
      </w:r>
      <w:r w:rsidR="00C80484">
        <w:rPr>
          <w:noProof/>
        </w:rPr>
        <w:fldChar w:fldCharType="end"/>
      </w:r>
      <w:r>
        <w:t xml:space="preserve">: </w:t>
      </w:r>
      <w:r w:rsidRPr="0045311C">
        <w:t xml:space="preserve"> ROC Curves of Models</w:t>
      </w:r>
    </w:p>
    <w:p w14:paraId="5D2DD83B" w14:textId="27A72157" w:rsidR="009303D9" w:rsidRDefault="001452D4" w:rsidP="006B6B66">
      <w:pPr>
        <w:pStyle w:val="Heading1"/>
      </w:pPr>
      <w:r>
        <w:t xml:space="preserve">Conclusion </w:t>
      </w:r>
    </w:p>
    <w:p w14:paraId="42CD3244" w14:textId="56397424" w:rsidR="009303D9" w:rsidRPr="005B520E" w:rsidRDefault="00293B47" w:rsidP="00293B47">
      <w:pPr>
        <w:jc w:val="both"/>
      </w:pPr>
      <w:r w:rsidRPr="00293B47">
        <w:t>In this study, we took a closer look at how muscle activity (EMG) and ground force data work together to help us understand balance during movement, particularly when playing a VR game. By pulling out key features like iEMG, peak activation, and the asymmetry index, we categorized each 3-second segment as either “balanced” or “imbalanced.” We put several machine learning models to the test to see how well they could classify these states, and guess what? Logistic Regression came out on top, hitting an impressive 97% accuracy in 10-fold cross-validation. Not only was it spot-on, but it was also straightforward and dependable, leaving more complex models like decision trees in the dust, which struggled with overfitting. All in all, this research highlights that with clean signal processing and relevant features, we can harness lightweight machine learning to spot balance issues in real time. This opens up exciting possibilities for smarter rehabilitation tools and VR-based motor training.</w:t>
      </w:r>
    </w:p>
    <w:p w14:paraId="21523B97" w14:textId="3B11D7B6" w:rsidR="009303D9" w:rsidRDefault="009303D9" w:rsidP="00D52922">
      <w:pPr>
        <w:pStyle w:val="Heading1"/>
      </w:pPr>
      <w:r w:rsidRPr="005B520E">
        <w:t>References</w:t>
      </w:r>
    </w:p>
    <w:p w14:paraId="6406F6DD" w14:textId="77777777" w:rsidR="00293B47" w:rsidRDefault="00293B47" w:rsidP="00D52922">
      <w:pPr>
        <w:pStyle w:val="ListParagraph"/>
        <w:numPr>
          <w:ilvl w:val="0"/>
          <w:numId w:val="27"/>
        </w:numPr>
        <w:ind w:start="18pt"/>
        <w:jc w:val="both"/>
      </w:pPr>
      <w:r w:rsidRPr="00293B47">
        <w:t xml:space="preserve">J. Smith et al., “The rise of virtual reality in movement science,” J. </w:t>
      </w:r>
      <w:proofErr w:type="spellStart"/>
      <w:r w:rsidRPr="00293B47">
        <w:t>Rehabil</w:t>
      </w:r>
      <w:proofErr w:type="spellEnd"/>
      <w:r w:rsidRPr="00293B47">
        <w:t xml:space="preserve">. Res., vol. 45, no. 3, pp. 210–220, 2020. </w:t>
      </w:r>
    </w:p>
    <w:p w14:paraId="079259CE" w14:textId="77777777" w:rsidR="00293B47" w:rsidRDefault="00293B47" w:rsidP="00D52922">
      <w:pPr>
        <w:pStyle w:val="ListParagraph"/>
        <w:numPr>
          <w:ilvl w:val="0"/>
          <w:numId w:val="27"/>
        </w:numPr>
        <w:ind w:start="18pt"/>
        <w:jc w:val="both"/>
      </w:pPr>
      <w:r w:rsidRPr="00293B47">
        <w:t xml:space="preserve">[2] H. Lee et al., “The role of tibialis anterior in balance recovery during sit-to-stand transitions,” Gait Posture, vol. 62, pp. 89–94, 2018. </w:t>
      </w:r>
    </w:p>
    <w:p w14:paraId="2BD4C208" w14:textId="77777777" w:rsidR="00D52922" w:rsidRDefault="00293B47" w:rsidP="00D52922">
      <w:pPr>
        <w:pStyle w:val="ListParagraph"/>
        <w:numPr>
          <w:ilvl w:val="0"/>
          <w:numId w:val="27"/>
        </w:numPr>
        <w:ind w:start="18pt"/>
        <w:jc w:val="both"/>
      </w:pPr>
      <w:r w:rsidRPr="00293B47">
        <w:t xml:space="preserve"> W. Herzog, A. Nigg, and M. Read, “Inter-limb asymmetry and injury risk in athletes: A review of current evidence,” J. Sports Sci., vol. 37, no. 9, pp. 1047–1056, 2019.</w:t>
      </w:r>
    </w:p>
    <w:p w14:paraId="6CF7D21A" w14:textId="77777777" w:rsidR="00D52922" w:rsidRDefault="00293B47" w:rsidP="00D52922">
      <w:pPr>
        <w:pStyle w:val="ListParagraph"/>
        <w:numPr>
          <w:ilvl w:val="0"/>
          <w:numId w:val="27"/>
        </w:numPr>
        <w:ind w:start="18pt"/>
        <w:jc w:val="both"/>
      </w:pPr>
      <w:r w:rsidRPr="00293B47">
        <w:t xml:space="preserve"> K. Y. Lim, M. J. McCrum, and S. E. Kim, “The role of tibialis anterior activation in dynamic postural stability and VR-induced sway,” Sensors, vol. 21, no. 3, p. 822, 2021. </w:t>
      </w:r>
    </w:p>
    <w:p w14:paraId="4F12E2F6" w14:textId="77777777" w:rsidR="00D52922" w:rsidRDefault="00293B47" w:rsidP="00D52922">
      <w:pPr>
        <w:pStyle w:val="ListParagraph"/>
        <w:numPr>
          <w:ilvl w:val="0"/>
          <w:numId w:val="27"/>
        </w:numPr>
        <w:ind w:start="18pt"/>
        <w:jc w:val="both"/>
      </w:pPr>
      <w:r w:rsidRPr="00293B47">
        <w:t>A. T. Azizi, F. H. Babaei, and S. K. Tavakoli, “Applications of EMG in balance and mobility analysis: A review,” Bioengineering, vol. 8, no. 11, p. 161, 2021.</w:t>
      </w:r>
    </w:p>
    <w:p w14:paraId="5768F5A2" w14:textId="77777777" w:rsidR="00D52922" w:rsidRDefault="00293B47" w:rsidP="00D52922">
      <w:pPr>
        <w:pStyle w:val="ListParagraph"/>
        <w:numPr>
          <w:ilvl w:val="0"/>
          <w:numId w:val="27"/>
        </w:numPr>
        <w:ind w:start="18pt"/>
        <w:jc w:val="both"/>
      </w:pPr>
      <w:r w:rsidRPr="00293B47">
        <w:t xml:space="preserve">A. G. Feldman and Y. P. Levin, “The origin and use of EMG signals to study postural control,” Motor Control, vol. 24, no. 3, pp. 367–388, 2020. </w:t>
      </w:r>
    </w:p>
    <w:p w14:paraId="6F2081DB" w14:textId="77777777" w:rsidR="00D52922" w:rsidRDefault="00293B47" w:rsidP="00D52922">
      <w:pPr>
        <w:pStyle w:val="ListParagraph"/>
        <w:numPr>
          <w:ilvl w:val="0"/>
          <w:numId w:val="27"/>
        </w:numPr>
        <w:ind w:start="18pt"/>
        <w:jc w:val="both"/>
      </w:pPr>
      <w:r w:rsidRPr="00293B47">
        <w:t xml:space="preserve">A. W. L. Leung, M. J. K. Yau, and K. M. Fong, “The use of virtual reality in balance and gait rehabilitation: A systematic review and </w:t>
      </w:r>
      <w:proofErr w:type="spellStart"/>
      <w:r w:rsidRPr="00293B47">
        <w:t>metaanalysis</w:t>
      </w:r>
      <w:proofErr w:type="spellEnd"/>
      <w:r w:rsidRPr="00293B47">
        <w:t>,” Disability and Rehabilitation, vol. 42, no. 9, pp. 1207–1221, 2020.</w:t>
      </w:r>
    </w:p>
    <w:p w14:paraId="79021A8A" w14:textId="77777777" w:rsidR="00D52922" w:rsidRDefault="00293B47" w:rsidP="00D52922">
      <w:pPr>
        <w:pStyle w:val="ListParagraph"/>
        <w:numPr>
          <w:ilvl w:val="0"/>
          <w:numId w:val="27"/>
        </w:numPr>
        <w:ind w:start="18pt"/>
        <w:jc w:val="both"/>
      </w:pPr>
      <w:r w:rsidRPr="00293B47">
        <w:t xml:space="preserve"> B. P. Bailey, M. R. </w:t>
      </w:r>
      <w:proofErr w:type="spellStart"/>
      <w:r w:rsidRPr="00293B47">
        <w:t>Bailenson</w:t>
      </w:r>
      <w:proofErr w:type="spellEnd"/>
      <w:r w:rsidRPr="00293B47">
        <w:t xml:space="preserve">, A. J. Casasanto, A. D. Hodges, and J. N. Liew, “Effects of immersive virtual environments on postural stability and balance: A systematic review,” J. </w:t>
      </w:r>
      <w:proofErr w:type="spellStart"/>
      <w:r w:rsidRPr="00293B47">
        <w:t>NeuroEngineering</w:t>
      </w:r>
      <w:proofErr w:type="spellEnd"/>
      <w:r w:rsidRPr="00293B47">
        <w:t xml:space="preserve"> </w:t>
      </w:r>
      <w:proofErr w:type="spellStart"/>
      <w:r w:rsidRPr="00293B47">
        <w:t>Rehabil</w:t>
      </w:r>
      <w:proofErr w:type="spellEnd"/>
      <w:r w:rsidRPr="00293B47">
        <w:t xml:space="preserve">., vol. 17, no. 1, p. 135, 2020. </w:t>
      </w:r>
    </w:p>
    <w:p w14:paraId="5F08BED3" w14:textId="77777777" w:rsidR="00D52922" w:rsidRDefault="00293B47" w:rsidP="00D52922">
      <w:pPr>
        <w:pStyle w:val="ListParagraph"/>
        <w:numPr>
          <w:ilvl w:val="0"/>
          <w:numId w:val="27"/>
        </w:numPr>
        <w:ind w:start="18pt"/>
        <w:jc w:val="both"/>
      </w:pPr>
      <w:r w:rsidRPr="00293B47">
        <w:t xml:space="preserve">R. T. Howell, M. R. Luz, and D. L. Hartley, “Force platform measurements and balance detection: Clinical utility and research applications,” J. </w:t>
      </w:r>
      <w:proofErr w:type="spellStart"/>
      <w:r w:rsidRPr="00293B47">
        <w:t>Biomech</w:t>
      </w:r>
      <w:proofErr w:type="spellEnd"/>
      <w:r w:rsidRPr="00293B47">
        <w:t xml:space="preserve">., vol. 113, p. 110104, 2021. </w:t>
      </w:r>
    </w:p>
    <w:p w14:paraId="7D55EE83" w14:textId="77777777" w:rsidR="00D52922" w:rsidRDefault="00293B47" w:rsidP="00D52922">
      <w:pPr>
        <w:pStyle w:val="ListParagraph"/>
        <w:numPr>
          <w:ilvl w:val="0"/>
          <w:numId w:val="27"/>
        </w:numPr>
        <w:ind w:start="18pt"/>
        <w:jc w:val="both"/>
      </w:pPr>
      <w:r w:rsidRPr="00293B47">
        <w:t>A. Z. Chen, L. S. Lin, and M. H. Yang, “Surface EMG thresholds for labeling gait asymmetry in postural studies,” IEEE Transactions on Neural Systems and Rehabilitation Engineering, vol. 28, no. 9, pp. 1700–1708, 2020.</w:t>
      </w:r>
    </w:p>
    <w:p w14:paraId="6BB609E5" w14:textId="77777777" w:rsidR="00D52922" w:rsidRDefault="00293B47" w:rsidP="00D52922">
      <w:pPr>
        <w:pStyle w:val="ListParagraph"/>
        <w:numPr>
          <w:ilvl w:val="0"/>
          <w:numId w:val="27"/>
        </w:numPr>
        <w:ind w:start="18pt"/>
        <w:jc w:val="both"/>
      </w:pPr>
      <w:r w:rsidRPr="00293B47">
        <w:t>M. Omar Cheema, Z. Mohy-Ud-Din, A. Al Aishan and J. Zeb Gul, "</w:t>
      </w:r>
      <w:proofErr w:type="spellStart"/>
      <w:r w:rsidRPr="00293B47">
        <w:t>LaborEase</w:t>
      </w:r>
      <w:proofErr w:type="spellEnd"/>
      <w:r w:rsidRPr="00293B47">
        <w:t xml:space="preserve">: An Artificial Intelligence-Based Wearable </w:t>
      </w:r>
      <w:proofErr w:type="spellStart"/>
      <w:r w:rsidRPr="00293B47">
        <w:t>Electrohysterography</w:t>
      </w:r>
      <w:proofErr w:type="spellEnd"/>
      <w:r w:rsidRPr="00293B47">
        <w:t xml:space="preserve"> Device for Preterm Pregnancy Detection," in IEEE Access, vol. 13, pp. 95457-95474, 2025, </w:t>
      </w:r>
      <w:proofErr w:type="spellStart"/>
      <w:r w:rsidRPr="00293B47">
        <w:t>doi</w:t>
      </w:r>
      <w:proofErr w:type="spellEnd"/>
      <w:r w:rsidRPr="00293B47">
        <w:t>: 10.1109/ACCESS.2025.3574554.</w:t>
      </w:r>
    </w:p>
    <w:p w14:paraId="5405CB1D" w14:textId="77777777" w:rsidR="00D52922" w:rsidRDefault="00293B47" w:rsidP="00D52922">
      <w:pPr>
        <w:pStyle w:val="ListParagraph"/>
        <w:numPr>
          <w:ilvl w:val="0"/>
          <w:numId w:val="27"/>
        </w:numPr>
        <w:ind w:start="18pt"/>
        <w:jc w:val="both"/>
      </w:pPr>
      <w:r w:rsidRPr="00293B47">
        <w:t xml:space="preserve">A. Ishtiaq, J. Gul, Z. M. U. Din, A. Imran and K. El Hindi, "Wearable Regionally Trained AI-Enabled Bruxism-Detection System," in IEEE Access, vol. 13, pp. 15503-15528, 2025, </w:t>
      </w:r>
      <w:proofErr w:type="spellStart"/>
      <w:r w:rsidRPr="00293B47">
        <w:t>doi</w:t>
      </w:r>
      <w:proofErr w:type="spellEnd"/>
      <w:r w:rsidRPr="00293B47">
        <w:t>: 10.1109/ACCESS.2025.3532360.</w:t>
      </w:r>
    </w:p>
    <w:p w14:paraId="2AADBFFA" w14:textId="77777777" w:rsidR="00D52922" w:rsidRDefault="00293B47" w:rsidP="00D52922">
      <w:pPr>
        <w:pStyle w:val="ListParagraph"/>
        <w:numPr>
          <w:ilvl w:val="0"/>
          <w:numId w:val="27"/>
        </w:numPr>
        <w:ind w:start="18pt"/>
        <w:jc w:val="both"/>
      </w:pPr>
      <w:r w:rsidRPr="00293B47">
        <w:t xml:space="preserve">J. Z. Gul, N. Fatima, Z. Mohy Ud Din, M. Khan, W. Y. Kim and M. M. Rehman, "Advanced Sensing System for Sleep Bruxism across Multiple Postures via EMG and Machine Learning," Sensors, vol. 24, no. 16, pp. 5426, 2024, </w:t>
      </w:r>
      <w:proofErr w:type="spellStart"/>
      <w:r w:rsidRPr="00293B47">
        <w:t>doi</w:t>
      </w:r>
      <w:proofErr w:type="spellEnd"/>
      <w:r w:rsidRPr="00293B47">
        <w:t xml:space="preserve">: 10.3390/s24165426. </w:t>
      </w:r>
    </w:p>
    <w:p w14:paraId="3D64EFF2" w14:textId="77777777" w:rsidR="00D52922" w:rsidRDefault="00293B47" w:rsidP="00D52922">
      <w:pPr>
        <w:pStyle w:val="ListParagraph"/>
        <w:numPr>
          <w:ilvl w:val="0"/>
          <w:numId w:val="27"/>
        </w:numPr>
        <w:ind w:start="18pt"/>
        <w:jc w:val="both"/>
      </w:pPr>
      <w:r w:rsidRPr="00293B47">
        <w:t xml:space="preserve">J. Z. Gul, M. O. Cheema, Z. Mohy Ud Din, M. Khan, W. Y. Kim and M. M. Rehman, "Machine Learning-Based Classification of Body Imbalance and Its Intensity Using Electromyogram and Ground Reaction Force in Immersive Environments," Appl. Sci., vol. 14, no. 18, pp. 8209, 2024, </w:t>
      </w:r>
      <w:proofErr w:type="spellStart"/>
      <w:r w:rsidRPr="00293B47">
        <w:t>doi</w:t>
      </w:r>
      <w:proofErr w:type="spellEnd"/>
      <w:r w:rsidRPr="00293B47">
        <w:t xml:space="preserve">: 10.3390/app14188209. </w:t>
      </w:r>
    </w:p>
    <w:p w14:paraId="0D0BCD94" w14:textId="77777777" w:rsidR="00D52922" w:rsidRDefault="00293B47" w:rsidP="00D52922">
      <w:pPr>
        <w:pStyle w:val="ListParagraph"/>
        <w:numPr>
          <w:ilvl w:val="0"/>
          <w:numId w:val="27"/>
        </w:numPr>
        <w:ind w:start="18pt"/>
        <w:jc w:val="both"/>
      </w:pPr>
      <w:r w:rsidRPr="00293B47">
        <w:lastRenderedPageBreak/>
        <w:t xml:space="preserve"> J. Z. Gul, M. O. Cheema, Z. Mohy Ud Din, M. Khan, W. Y. Kim and M. M. Rehman, "Machine Learning-Based Classification of Body Imbalance and Its Intensity Using Electromyogram and Ground Reaction Force in Immersive Environments," Appl. Sci., vol. 14, no. 18, pp. 8209, 2024, </w:t>
      </w:r>
      <w:proofErr w:type="spellStart"/>
      <w:r w:rsidRPr="00293B47">
        <w:t>doi</w:t>
      </w:r>
      <w:proofErr w:type="spellEnd"/>
      <w:r w:rsidRPr="00293B47">
        <w:t>: 10.3390/app14188209.</w:t>
      </w:r>
    </w:p>
    <w:p w14:paraId="5CA9599F" w14:textId="17ED7867" w:rsidR="00D95166" w:rsidRDefault="00293B47" w:rsidP="00D52922">
      <w:pPr>
        <w:pStyle w:val="ListParagraph"/>
        <w:numPr>
          <w:ilvl w:val="0"/>
          <w:numId w:val="27"/>
        </w:numPr>
        <w:ind w:start="18pt"/>
        <w:jc w:val="both"/>
      </w:pPr>
      <w:r w:rsidRPr="00293B47">
        <w:t xml:space="preserve"> M. O. Cheema et al., "Insights into Physical Stress: EOGBased Detection and Classification," 2024 2nd </w:t>
      </w:r>
      <w:r w:rsidRPr="00293B47">
        <w:t xml:space="preserve">International Conference on Computing and Data Analytics (ICCDA), Shinas, Oman, 2024, pp. 1-4, </w:t>
      </w:r>
      <w:proofErr w:type="spellStart"/>
      <w:r w:rsidRPr="00293B47">
        <w:t>doi</w:t>
      </w:r>
      <w:proofErr w:type="spellEnd"/>
      <w:r w:rsidRPr="00293B47">
        <w:t>: 10.1109/ICCDA64887.2024.10867376</w:t>
      </w:r>
    </w:p>
    <w:p w14:paraId="6CA1BFF2" w14:textId="1A4F7CCE" w:rsidR="001452D4" w:rsidRDefault="001452D4" w:rsidP="001452D4">
      <w:pPr>
        <w:pStyle w:val="BodyText"/>
        <w:ind w:firstLine="0pt"/>
      </w:pPr>
    </w:p>
    <w:p w14:paraId="67664B9A" w14:textId="77777777" w:rsidR="008147B5" w:rsidRDefault="008147B5" w:rsidP="008147B5">
      <w:pPr>
        <w:pStyle w:val="references"/>
        <w:numPr>
          <w:ilvl w:val="0"/>
          <w:numId w:val="0"/>
        </w:numPr>
        <w:ind w:start="17.70pt"/>
      </w:pPr>
    </w:p>
    <w:p w14:paraId="481D7272" w14:textId="77777777" w:rsidR="009303D9" w:rsidRDefault="009303D9" w:rsidP="00836367">
      <w:pPr>
        <w:pStyle w:val="references"/>
        <w:numPr>
          <w:ilvl w:val="0"/>
          <w:numId w:val="0"/>
        </w:numPr>
        <w:ind w:start="18pt" w:hanging="18pt"/>
      </w:pPr>
    </w:p>
    <w:p w14:paraId="2CBC4D6A" w14:textId="0EA716A9" w:rsidR="00836367" w:rsidRPr="00F96569" w:rsidRDefault="00836367" w:rsidP="008B6524">
      <w:pPr>
        <w:pStyle w:val="references"/>
        <w:numPr>
          <w:ilvl w:val="0"/>
          <w:numId w:val="0"/>
        </w:numPr>
        <w:spacing w:line="12pt" w:lineRule="auto"/>
        <w:ind w:start="18pt" w:hanging="18pt"/>
        <w:jc w:val="center"/>
        <w:rPr>
          <w:rFonts w:eastAsia="SimSun"/>
          <w:b/>
          <w:noProof w:val="0"/>
          <w:color w:val="FF0000"/>
          <w:spacing w:val="-1"/>
          <w:sz w:val="20"/>
          <w:szCs w:val="20"/>
          <w:lang w:val="x-none" w:eastAsia="x-none"/>
        </w:rPr>
        <w:sectPr w:rsidR="00836367" w:rsidRPr="00F96569" w:rsidSect="003B4E04">
          <w:type w:val="continuous"/>
          <w:pgSz w:w="595.30pt" w:h="841.90pt" w:code="9"/>
          <w:pgMar w:top="54pt" w:right="45.35pt" w:bottom="72pt" w:left="45.35pt" w:header="36pt" w:footer="36pt" w:gutter="0pt"/>
          <w:cols w:num="2" w:space="18pt"/>
          <w:docGrid w:linePitch="360"/>
        </w:sectPr>
      </w:pPr>
    </w:p>
    <w:p w14:paraId="4EF2B8B8" w14:textId="7B4B5C03" w:rsidR="009303D9" w:rsidRDefault="009303D9" w:rsidP="005B520E"/>
    <w:sectPr w:rsidR="009303D9" w:rsidSect="003B4E04">
      <w:type w:val="continuous"/>
      <w:pgSz w:w="595.30pt" w:h="841.90pt" w:code="9"/>
      <w:pgMar w:top="54pt" w:right="44.65pt" w:bottom="72pt" w:left="44.65pt" w:header="36pt" w:footer="36pt" w:gutter="0pt"/>
      <w:cols w:space="36pt"/>
      <w:docGrid w:linePitch="360"/>
    </w:sectPr>
  </w:body>
</w:document>
</file>

<file path=word/endnotes.xml><?xml version="1.0" encoding="utf-8"?>
<w:endnotes xmlns:cx="http://schemas.microsoft.com/office/drawing/2014/chartex" xmlns:cx1="http://schemas.microsoft.com/office/drawing/2015/9/8/chartex"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se="http://schemas.microsoft.com/office/word/2015/wordml/symex" xmlns:wpi="http://schemas.microsoft.com/office/word/2010/wordprocessingInk" xmlns:wne="http://schemas.microsoft.com/office/word/2006/wordml" mc:Ignorable="w14 w15 w16se wne wp14">
  <w:endnote w:type="separator" w:id="-1">
    <w:p w14:paraId="39CA3FCF" w14:textId="77777777" w:rsidR="00C80484" w:rsidRDefault="00C80484" w:rsidP="001A3B3D">
      <w:r>
        <w:separator/>
      </w:r>
    </w:p>
  </w:endnote>
  <w:endnote w:type="continuationSeparator" w:id="0">
    <w:p w14:paraId="2F721F47" w14:textId="77777777" w:rsidR="00C80484" w:rsidRDefault="00C80484" w:rsidP="001A3B3D">
      <w:r>
        <w:continuationSeparator/>
      </w:r>
    </w:p>
  </w:endnote>
</w:endnotes>
</file>

<file path=word/fontTable.xml><?xml version="1.0" encoding="utf-8"?>
<w:fonts xmlns:mc="http://schemas.openxmlformats.org/markup-compatibility/2006" xmlns:r="http://purl.oclc.org/ooxml/officeDocument/relationships" xmlns:w="http://purl.oclc.org/ooxml/wordprocessingml/main" xmlns:w14="http://schemas.microsoft.com/office/word/2010/wordml" xmlns:w15="http://schemas.microsoft.com/office/word/2012/wordml" xmlns:w16se="http://schemas.microsoft.com/office/word/2015/wordml/symex" mc:Ignorable="w14 w15 w16se">
  <w:font w:name="Symbol">
    <w:panose1 w:val="05050102010706020507"/>
    <w:family w:val="roman"/>
    <w:pitch w:val="variable"/>
    <w:sig w:usb0="00000000" w:usb1="10000000" w:usb2="00000000" w:usb3="00000000" w:csb0="80000000" w:csb1="00000000"/>
  </w:font>
  <w:font w:name="Times New Roman">
    <w:panose1 w:val="02020603050405020304"/>
    <w:charset w:characterSet="iso-8859-1"/>
    <w:family w:val="roman"/>
    <w:pitch w:val="variable"/>
    <w:sig w:usb0="E0002EFF" w:usb1="C000785B" w:usb2="00000009" w:usb3="00000000" w:csb0="000001FF" w:csb1="00000000"/>
  </w:font>
  <w:font w:name="Courier New">
    <w:panose1 w:val="02070309020205020404"/>
    <w:charset w:characterSet="iso-8859-1"/>
    <w:family w:val="modern"/>
    <w:pitch w:val="fixed"/>
    <w:sig w:usb0="E0002EFF" w:usb1="C0007843" w:usb2="00000009" w:usb3="00000000" w:csb0="000001FF" w:csb1="00000000"/>
  </w:font>
  <w:font w:name="Wingdings">
    <w:panose1 w:val="05000000000000000000"/>
    <w:family w:val="auto"/>
    <w:pitch w:val="variable"/>
    <w:sig w:usb0="00000000" w:usb1="10000000" w:usb2="00000000" w:usb3="00000000" w:csb0="80000000" w:csb1="00000000"/>
  </w:font>
  <w:font w:name="SimSun">
    <w:altName w:val="宋体"/>
    <w:panose1 w:val="02010600030101010101"/>
    <w:charset w:characterSet="GBK"/>
    <w:family w:val="auto"/>
    <w:pitch w:val="variable"/>
    <w:sig w:usb0="00000203" w:usb1="288F0000" w:usb2="00000016" w:usb3="00000000" w:csb0="00040001" w:csb1="00000000"/>
  </w:font>
  <w:font w:name="MS Mincho">
    <w:altName w:val="Yu Gothic UI"/>
    <w:panose1 w:val="02020609040205080304"/>
    <w:charset w:characterSet="shift_jis"/>
    <w:family w:val="modern"/>
    <w:pitch w:val="fixed"/>
    <w:sig w:usb0="E00002FF" w:usb1="6AC7FDFB" w:usb2="08000012" w:usb3="00000000" w:csb0="0002009F" w:csb1="00000000"/>
  </w:font>
  <w:font w:name="Cambria Math">
    <w:panose1 w:val="02040503050406030204"/>
    <w:charset w:characterSet="iso-8859-1"/>
    <w:family w:val="roman"/>
    <w:pitch w:val="variable"/>
    <w:sig w:usb0="E00006FF" w:usb1="420024FF" w:usb2="02000000" w:usb3="00000000" w:csb0="0000019F" w:csb1="00000000"/>
  </w:font>
  <w:font w:name="Calibri Light">
    <w:panose1 w:val="020F0302020204030204"/>
    <w:charset w:characterSet="iso-8859-1"/>
    <w:family w:val="swiss"/>
    <w:pitch w:val="variable"/>
    <w:sig w:usb0="E4002EFF" w:usb1="C000247B" w:usb2="00000009" w:usb3="00000000" w:csb0="000001FF" w:csb1="00000000"/>
  </w:font>
  <w:font w:name="Calibri">
    <w:panose1 w:val="020F0502020204030204"/>
    <w:charset w:characterSet="iso-8859-1"/>
    <w:family w:val="swiss"/>
    <w:pitch w:val="variable"/>
    <w:sig w:usb0="E4002EFF" w:usb1="C000247B" w:usb2="00000009" w:usb3="00000000" w:csb0="000001FF" w:csb1="00000000"/>
  </w:font>
</w:fonts>
</file>

<file path=word/footer1.xml><?xml version="1.0" encoding="utf-8"?>
<w:ftr xmlns:cx="http://schemas.microsoft.com/office/drawing/2014/chartex" xmlns:cx1="http://schemas.microsoft.com/office/drawing/2015/9/8/chartex"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se="http://schemas.microsoft.com/office/word/2015/wordml/symex" xmlns:wpi="http://schemas.microsoft.com/office/word/2010/wordprocessingInk" xmlns:wne="http://schemas.microsoft.com/office/word/2006/wordml" mc:Ignorable="w14 w15 w16se wne wp14">
  <w:p w14:paraId="69E75918" w14:textId="5A40A71D" w:rsidR="001A3B3D" w:rsidRPr="006F6D3D" w:rsidRDefault="001A3B3D" w:rsidP="0056610F">
    <w:pPr>
      <w:pStyle w:val="Footer"/>
      <w:jc w:val="start"/>
      <w:rPr>
        <w:sz w:val="16"/>
        <w:szCs w:val="16"/>
      </w:rPr>
    </w:pPr>
  </w:p>
</w:ftr>
</file>

<file path=word/footnotes.xml><?xml version="1.0" encoding="utf-8"?>
<w:footnotes xmlns:cx="http://schemas.microsoft.com/office/drawing/2014/chartex" xmlns:cx1="http://schemas.microsoft.com/office/drawing/2015/9/8/chartex"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se="http://schemas.microsoft.com/office/word/2015/wordml/symex" xmlns:wpi="http://schemas.microsoft.com/office/word/2010/wordprocessingInk" xmlns:wne="http://schemas.microsoft.com/office/word/2006/wordml" mc:Ignorable="w14 w15 w16se wne wp14">
  <w:footnote w:type="separator" w:id="-1">
    <w:p w14:paraId="73BDCF71" w14:textId="77777777" w:rsidR="00C80484" w:rsidRDefault="00C80484" w:rsidP="001A3B3D">
      <w:r>
        <w:separator/>
      </w:r>
    </w:p>
  </w:footnote>
  <w:footnote w:type="continuationSeparator" w:id="0">
    <w:p w14:paraId="55CCF181" w14:textId="77777777" w:rsidR="00C80484" w:rsidRDefault="00C80484" w:rsidP="001A3B3D">
      <w:r>
        <w:continuationSeparator/>
      </w:r>
    </w:p>
  </w:footnote>
</w:footnotes>
</file>

<file path=word/numbering.xml><?xml version="1.0" encoding="utf-8"?>
<w:numbering xmlns:cx="http://schemas.microsoft.com/office/drawing/2014/chartex" xmlns:cx1="http://schemas.microsoft.com/office/drawing/2015/9/8/chartex"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se="http://schemas.microsoft.com/office/word/2015/wordml/symex" xmlns:wpi="http://schemas.microsoft.com/office/word/2010/wordprocessingInk" xmlns:wne="http://schemas.microsoft.com/office/word/2006/wordml" mc:Ignorable="w14 w15 w16se wne wp14">
  <w:abstractNum w:abstractNumId="0" w15:restartNumberingAfterBreak="0">
    <w:nsid w:val="FFFFFF1D"/>
    <w:multiLevelType w:val="multilevel"/>
    <w:tmpl w:val="7A36CE9E"/>
    <w:lvl w:ilvl="0">
      <w:start w:val="1"/>
      <w:numFmt w:val="bullet"/>
      <w:lvlText w:val=""/>
      <w:lvlJc w:val="start"/>
      <w:pPr>
        <w:tabs>
          <w:tab w:val="num" w:pos="0pt"/>
        </w:tabs>
        <w:ind w:start="0pt" w:firstLine="0pt"/>
      </w:pPr>
      <w:rPr>
        <w:rFonts w:ascii="Symbol" w:hAnsi="Symbol" w:hint="default"/>
      </w:rPr>
    </w:lvl>
    <w:lvl w:ilvl="1">
      <w:start w:val="1"/>
      <w:numFmt w:val="bullet"/>
      <w:lvlText w:val=""/>
      <w:lvlJc w:val="start"/>
      <w:pPr>
        <w:tabs>
          <w:tab w:val="num" w:pos="36pt"/>
        </w:tabs>
        <w:ind w:start="54pt" w:hanging="18pt"/>
      </w:pPr>
      <w:rPr>
        <w:rFonts w:ascii="Symbol" w:hAnsi="Symbol" w:hint="default"/>
      </w:rPr>
    </w:lvl>
    <w:lvl w:ilvl="2">
      <w:start w:val="1"/>
      <w:numFmt w:val="bullet"/>
      <w:lvlText w:val="o"/>
      <w:lvlJc w:val="start"/>
      <w:pPr>
        <w:tabs>
          <w:tab w:val="num" w:pos="72pt"/>
        </w:tabs>
        <w:ind w:start="90pt" w:hanging="18pt"/>
      </w:pPr>
      <w:rPr>
        <w:rFonts w:ascii="Courier New" w:hAnsi="Courier New" w:cs="Courier New" w:hint="default"/>
      </w:rPr>
    </w:lvl>
    <w:lvl w:ilvl="3">
      <w:start w:val="1"/>
      <w:numFmt w:val="bullet"/>
      <w:lvlText w:val=""/>
      <w:lvlJc w:val="start"/>
      <w:pPr>
        <w:tabs>
          <w:tab w:val="num" w:pos="108pt"/>
        </w:tabs>
        <w:ind w:start="126pt" w:hanging="18pt"/>
      </w:pPr>
      <w:rPr>
        <w:rFonts w:ascii="Wingdings" w:hAnsi="Wingdings" w:hint="default"/>
      </w:rPr>
    </w:lvl>
    <w:lvl w:ilvl="4">
      <w:start w:val="1"/>
      <w:numFmt w:val="bullet"/>
      <w:lvlText w:val=""/>
      <w:lvlJc w:val="start"/>
      <w:pPr>
        <w:tabs>
          <w:tab w:val="num" w:pos="144pt"/>
        </w:tabs>
        <w:ind w:start="162pt" w:hanging="18pt"/>
      </w:pPr>
      <w:rPr>
        <w:rFonts w:ascii="Wingdings" w:hAnsi="Wingdings" w:hint="default"/>
      </w:rPr>
    </w:lvl>
    <w:lvl w:ilvl="5">
      <w:start w:val="1"/>
      <w:numFmt w:val="bullet"/>
      <w:lvlText w:val=""/>
      <w:lvlJc w:val="start"/>
      <w:pPr>
        <w:tabs>
          <w:tab w:val="num" w:pos="180pt"/>
        </w:tabs>
        <w:ind w:start="198pt" w:hanging="18pt"/>
      </w:pPr>
      <w:rPr>
        <w:rFonts w:ascii="Symbol" w:hAnsi="Symbol" w:hint="default"/>
      </w:rPr>
    </w:lvl>
    <w:lvl w:ilvl="6">
      <w:start w:val="1"/>
      <w:numFmt w:val="bullet"/>
      <w:lvlText w:val="o"/>
      <w:lvlJc w:val="start"/>
      <w:pPr>
        <w:tabs>
          <w:tab w:val="num" w:pos="216pt"/>
        </w:tabs>
        <w:ind w:start="234pt" w:hanging="18pt"/>
      </w:pPr>
      <w:rPr>
        <w:rFonts w:ascii="Courier New" w:hAnsi="Courier New" w:cs="Courier New" w:hint="default"/>
      </w:rPr>
    </w:lvl>
    <w:lvl w:ilvl="7">
      <w:start w:val="1"/>
      <w:numFmt w:val="bullet"/>
      <w:lvlText w:val=""/>
      <w:lvlJc w:val="start"/>
      <w:pPr>
        <w:tabs>
          <w:tab w:val="num" w:pos="252pt"/>
        </w:tabs>
        <w:ind w:start="270pt" w:hanging="18pt"/>
      </w:pPr>
      <w:rPr>
        <w:rFonts w:ascii="Wingdings" w:hAnsi="Wingdings" w:hint="default"/>
      </w:rPr>
    </w:lvl>
    <w:lvl w:ilvl="8">
      <w:start w:val="1"/>
      <w:numFmt w:val="bullet"/>
      <w:lvlText w:val=""/>
      <w:lvlJc w:val="start"/>
      <w:pPr>
        <w:tabs>
          <w:tab w:val="num" w:pos="288pt"/>
        </w:tabs>
        <w:ind w:start="306pt" w:hanging="18pt"/>
      </w:pPr>
      <w:rPr>
        <w:rFonts w:ascii="Wingdings" w:hAnsi="Wingdings" w:hint="default"/>
      </w:rPr>
    </w:lvl>
  </w:abstractNum>
  <w:abstractNum w:abstractNumId="1" w15:restartNumberingAfterBreak="0">
    <w:nsid w:val="FFFFFF7C"/>
    <w:multiLevelType w:val="singleLevel"/>
    <w:tmpl w:val="DD629BEE"/>
    <w:lvl w:ilvl="0">
      <w:start w:val="1"/>
      <w:numFmt w:val="decimal"/>
      <w:lvlText w:val="%1."/>
      <w:lvlJc w:val="start"/>
      <w:pPr>
        <w:tabs>
          <w:tab w:val="num" w:pos="74.60pt"/>
        </w:tabs>
        <w:ind w:start="74.60pt" w:hanging="18pt"/>
      </w:pPr>
    </w:lvl>
  </w:abstractNum>
  <w:abstractNum w:abstractNumId="2" w15:restartNumberingAfterBreak="0">
    <w:nsid w:val="FFFFFF7D"/>
    <w:multiLevelType w:val="singleLevel"/>
    <w:tmpl w:val="2648E1C4"/>
    <w:lvl w:ilvl="0">
      <w:start w:val="1"/>
      <w:numFmt w:val="decimal"/>
      <w:lvlText w:val="%1."/>
      <w:lvlJc w:val="start"/>
      <w:pPr>
        <w:tabs>
          <w:tab w:val="num" w:pos="60.45pt"/>
        </w:tabs>
        <w:ind w:start="60.45pt" w:hanging="18pt"/>
      </w:pPr>
    </w:lvl>
  </w:abstractNum>
  <w:abstractNum w:abstractNumId="3" w15:restartNumberingAfterBreak="0">
    <w:nsid w:val="FFFFFF7E"/>
    <w:multiLevelType w:val="singleLevel"/>
    <w:tmpl w:val="9D38DB54"/>
    <w:lvl w:ilvl="0">
      <w:start w:val="1"/>
      <w:numFmt w:val="decimal"/>
      <w:lvlText w:val="%1."/>
      <w:lvlJc w:val="start"/>
      <w:pPr>
        <w:tabs>
          <w:tab w:val="num" w:pos="46.30pt"/>
        </w:tabs>
        <w:ind w:start="46.30pt" w:hanging="18pt"/>
      </w:pPr>
    </w:lvl>
  </w:abstractNum>
  <w:abstractNum w:abstractNumId="4" w15:restartNumberingAfterBreak="0">
    <w:nsid w:val="FFFFFF7F"/>
    <w:multiLevelType w:val="singleLevel"/>
    <w:tmpl w:val="632C24E2"/>
    <w:lvl w:ilvl="0">
      <w:start w:val="1"/>
      <w:numFmt w:val="decimal"/>
      <w:lvlText w:val="%1."/>
      <w:lvlJc w:val="start"/>
      <w:pPr>
        <w:tabs>
          <w:tab w:val="num" w:pos="32.15pt"/>
        </w:tabs>
        <w:ind w:start="32.15pt" w:hanging="18pt"/>
      </w:pPr>
    </w:lvl>
  </w:abstractNum>
  <w:abstractNum w:abstractNumId="5" w15:restartNumberingAfterBreak="0">
    <w:nsid w:val="FFFFFF80"/>
    <w:multiLevelType w:val="singleLevel"/>
    <w:tmpl w:val="82268A14"/>
    <w:lvl w:ilvl="0">
      <w:start w:val="1"/>
      <w:numFmt w:val="bullet"/>
      <w:lvlText w:val=""/>
      <w:lvlJc w:val="start"/>
      <w:pPr>
        <w:tabs>
          <w:tab w:val="num" w:pos="74.60pt"/>
        </w:tabs>
        <w:ind w:start="74.60pt" w:hanging="18pt"/>
      </w:pPr>
      <w:rPr>
        <w:rFonts w:ascii="Symbol" w:hAnsi="Symbol" w:hint="default"/>
      </w:rPr>
    </w:lvl>
  </w:abstractNum>
  <w:abstractNum w:abstractNumId="6" w15:restartNumberingAfterBreak="0">
    <w:nsid w:val="FFFFFF81"/>
    <w:multiLevelType w:val="singleLevel"/>
    <w:tmpl w:val="8C0E77FE"/>
    <w:lvl w:ilvl="0">
      <w:start w:val="1"/>
      <w:numFmt w:val="bullet"/>
      <w:lvlText w:val=""/>
      <w:lvlJc w:val="start"/>
      <w:pPr>
        <w:tabs>
          <w:tab w:val="num" w:pos="60.45pt"/>
        </w:tabs>
        <w:ind w:start="60.45pt" w:hanging="18pt"/>
      </w:pPr>
      <w:rPr>
        <w:rFonts w:ascii="Symbol" w:hAnsi="Symbol" w:hint="default"/>
      </w:rPr>
    </w:lvl>
  </w:abstractNum>
  <w:abstractNum w:abstractNumId="7" w15:restartNumberingAfterBreak="0">
    <w:nsid w:val="FFFFFF82"/>
    <w:multiLevelType w:val="singleLevel"/>
    <w:tmpl w:val="174639B8"/>
    <w:lvl w:ilvl="0">
      <w:start w:val="1"/>
      <w:numFmt w:val="bullet"/>
      <w:lvlText w:val=""/>
      <w:lvlJc w:val="start"/>
      <w:pPr>
        <w:tabs>
          <w:tab w:val="num" w:pos="46.30pt"/>
        </w:tabs>
        <w:ind w:start="46.30pt" w:hanging="18pt"/>
      </w:pPr>
      <w:rPr>
        <w:rFonts w:ascii="Symbol" w:hAnsi="Symbol" w:hint="default"/>
      </w:rPr>
    </w:lvl>
  </w:abstractNum>
  <w:abstractNum w:abstractNumId="8" w15:restartNumberingAfterBreak="0">
    <w:nsid w:val="FFFFFF83"/>
    <w:multiLevelType w:val="singleLevel"/>
    <w:tmpl w:val="B1ACC408"/>
    <w:lvl w:ilvl="0">
      <w:start w:val="1"/>
      <w:numFmt w:val="bullet"/>
      <w:lvlText w:val=""/>
      <w:lvlJc w:val="start"/>
      <w:pPr>
        <w:tabs>
          <w:tab w:val="num" w:pos="32.15pt"/>
        </w:tabs>
        <w:ind w:start="32.15pt" w:hanging="18pt"/>
      </w:pPr>
      <w:rPr>
        <w:rFonts w:ascii="Symbol" w:hAnsi="Symbol" w:hint="default"/>
      </w:rPr>
    </w:lvl>
  </w:abstractNum>
  <w:abstractNum w:abstractNumId="9" w15:restartNumberingAfterBreak="0">
    <w:nsid w:val="FFFFFF88"/>
    <w:multiLevelType w:val="singleLevel"/>
    <w:tmpl w:val="229E8DFE"/>
    <w:lvl w:ilvl="0">
      <w:start w:val="1"/>
      <w:numFmt w:val="decimal"/>
      <w:lvlText w:val="%1."/>
      <w:lvlJc w:val="start"/>
      <w:pPr>
        <w:tabs>
          <w:tab w:val="num" w:pos="18pt"/>
        </w:tabs>
        <w:ind w:start="18pt" w:hanging="18pt"/>
      </w:pPr>
    </w:lvl>
  </w:abstractNum>
  <w:abstractNum w:abstractNumId="10" w15:restartNumberingAfterBreak="0">
    <w:nsid w:val="FFFFFF89"/>
    <w:multiLevelType w:val="singleLevel"/>
    <w:tmpl w:val="EA847AFE"/>
    <w:lvl w:ilvl="0">
      <w:start w:val="1"/>
      <w:numFmt w:val="bullet"/>
      <w:lvlText w:val=""/>
      <w:lvlJc w:val="start"/>
      <w:pPr>
        <w:tabs>
          <w:tab w:val="num" w:pos="18pt"/>
        </w:tabs>
        <w:ind w:start="18pt" w:hanging="18pt"/>
      </w:pPr>
      <w:rPr>
        <w:rFonts w:ascii="Symbol" w:hAnsi="Symbol" w:hint="default"/>
      </w:rPr>
    </w:lvl>
  </w:abstractNum>
  <w:abstractNum w:abstractNumId="11" w15:restartNumberingAfterBreak="0">
    <w:nsid w:val="1E177E97"/>
    <w:multiLevelType w:val="hybridMultilevel"/>
    <w:tmpl w:val="A6463BCE"/>
    <w:lvl w:ilvl="0" w:tplc="04140013">
      <w:start w:val="1"/>
      <w:numFmt w:val="upperRoman"/>
      <w:lvlText w:val="%1."/>
      <w:lvlJc w:val="end"/>
      <w:pPr>
        <w:ind w:start="46.80pt" w:hanging="18pt"/>
      </w:pPr>
    </w:lvl>
    <w:lvl w:ilvl="1" w:tplc="04140019" w:tentative="1">
      <w:start w:val="1"/>
      <w:numFmt w:val="lowerLetter"/>
      <w:lvlText w:val="%2."/>
      <w:lvlJc w:val="start"/>
      <w:pPr>
        <w:ind w:start="82.80pt" w:hanging="18pt"/>
      </w:pPr>
    </w:lvl>
    <w:lvl w:ilvl="2" w:tplc="0414001B" w:tentative="1">
      <w:start w:val="1"/>
      <w:numFmt w:val="lowerRoman"/>
      <w:lvlText w:val="%3."/>
      <w:lvlJc w:val="end"/>
      <w:pPr>
        <w:ind w:start="118.80pt" w:hanging="9pt"/>
      </w:pPr>
    </w:lvl>
    <w:lvl w:ilvl="3" w:tplc="0414000F" w:tentative="1">
      <w:start w:val="1"/>
      <w:numFmt w:val="decimal"/>
      <w:lvlText w:val="%4."/>
      <w:lvlJc w:val="start"/>
      <w:pPr>
        <w:ind w:start="154.80pt" w:hanging="18pt"/>
      </w:pPr>
    </w:lvl>
    <w:lvl w:ilvl="4" w:tplc="04140019" w:tentative="1">
      <w:start w:val="1"/>
      <w:numFmt w:val="lowerLetter"/>
      <w:lvlText w:val="%5."/>
      <w:lvlJc w:val="start"/>
      <w:pPr>
        <w:ind w:start="190.80pt" w:hanging="18pt"/>
      </w:pPr>
    </w:lvl>
    <w:lvl w:ilvl="5" w:tplc="0414001B" w:tentative="1">
      <w:start w:val="1"/>
      <w:numFmt w:val="lowerRoman"/>
      <w:lvlText w:val="%6."/>
      <w:lvlJc w:val="end"/>
      <w:pPr>
        <w:ind w:start="226.80pt" w:hanging="9pt"/>
      </w:pPr>
    </w:lvl>
    <w:lvl w:ilvl="6" w:tplc="0414000F" w:tentative="1">
      <w:start w:val="1"/>
      <w:numFmt w:val="decimal"/>
      <w:lvlText w:val="%7."/>
      <w:lvlJc w:val="start"/>
      <w:pPr>
        <w:ind w:start="262.80pt" w:hanging="18pt"/>
      </w:pPr>
    </w:lvl>
    <w:lvl w:ilvl="7" w:tplc="04140019" w:tentative="1">
      <w:start w:val="1"/>
      <w:numFmt w:val="lowerLetter"/>
      <w:lvlText w:val="%8."/>
      <w:lvlJc w:val="start"/>
      <w:pPr>
        <w:ind w:start="298.80pt" w:hanging="18pt"/>
      </w:pPr>
    </w:lvl>
    <w:lvl w:ilvl="8" w:tplc="0414001B" w:tentative="1">
      <w:start w:val="1"/>
      <w:numFmt w:val="lowerRoman"/>
      <w:lvlText w:val="%9."/>
      <w:lvlJc w:val="end"/>
      <w:pPr>
        <w:ind w:start="334.80pt" w:hanging="9pt"/>
      </w:pPr>
    </w:lvl>
  </w:abstractNum>
  <w:abstractNum w:abstractNumId="12" w15:restartNumberingAfterBreak="0">
    <w:nsid w:val="1EAE42F9"/>
    <w:multiLevelType w:val="hybridMultilevel"/>
    <w:tmpl w:val="BC5CAE98"/>
    <w:lvl w:ilvl="0" w:tplc="0C000019">
      <w:start w:val="1"/>
      <w:numFmt w:val="lowerLetter"/>
      <w:lvlText w:val="%1."/>
      <w:lvlJc w:val="start"/>
      <w:pPr>
        <w:ind w:start="36pt" w:hanging="18pt"/>
      </w:pPr>
      <w:rPr>
        <w:rFonts w:hint="default"/>
      </w:rPr>
    </w:lvl>
    <w:lvl w:ilvl="1" w:tplc="0C000019" w:tentative="1">
      <w:start w:val="1"/>
      <w:numFmt w:val="lowerLetter"/>
      <w:lvlText w:val="%2."/>
      <w:lvlJc w:val="start"/>
      <w:pPr>
        <w:ind w:start="72pt" w:hanging="18pt"/>
      </w:pPr>
    </w:lvl>
    <w:lvl w:ilvl="2" w:tplc="0C00001B" w:tentative="1">
      <w:start w:val="1"/>
      <w:numFmt w:val="lowerRoman"/>
      <w:lvlText w:val="%3."/>
      <w:lvlJc w:val="end"/>
      <w:pPr>
        <w:ind w:start="108pt" w:hanging="9pt"/>
      </w:pPr>
    </w:lvl>
    <w:lvl w:ilvl="3" w:tplc="0C00000F" w:tentative="1">
      <w:start w:val="1"/>
      <w:numFmt w:val="decimal"/>
      <w:lvlText w:val="%4."/>
      <w:lvlJc w:val="start"/>
      <w:pPr>
        <w:ind w:start="144pt" w:hanging="18pt"/>
      </w:pPr>
    </w:lvl>
    <w:lvl w:ilvl="4" w:tplc="0C000019" w:tentative="1">
      <w:start w:val="1"/>
      <w:numFmt w:val="lowerLetter"/>
      <w:lvlText w:val="%5."/>
      <w:lvlJc w:val="start"/>
      <w:pPr>
        <w:ind w:start="180pt" w:hanging="18pt"/>
      </w:pPr>
    </w:lvl>
    <w:lvl w:ilvl="5" w:tplc="0C00001B" w:tentative="1">
      <w:start w:val="1"/>
      <w:numFmt w:val="lowerRoman"/>
      <w:lvlText w:val="%6."/>
      <w:lvlJc w:val="end"/>
      <w:pPr>
        <w:ind w:start="216pt" w:hanging="9pt"/>
      </w:pPr>
    </w:lvl>
    <w:lvl w:ilvl="6" w:tplc="0C00000F" w:tentative="1">
      <w:start w:val="1"/>
      <w:numFmt w:val="decimal"/>
      <w:lvlText w:val="%7."/>
      <w:lvlJc w:val="start"/>
      <w:pPr>
        <w:ind w:start="252pt" w:hanging="18pt"/>
      </w:pPr>
    </w:lvl>
    <w:lvl w:ilvl="7" w:tplc="0C000019" w:tentative="1">
      <w:start w:val="1"/>
      <w:numFmt w:val="lowerLetter"/>
      <w:lvlText w:val="%8."/>
      <w:lvlJc w:val="start"/>
      <w:pPr>
        <w:ind w:start="288pt" w:hanging="18pt"/>
      </w:pPr>
    </w:lvl>
    <w:lvl w:ilvl="8" w:tplc="0C00001B" w:tentative="1">
      <w:start w:val="1"/>
      <w:numFmt w:val="lowerRoman"/>
      <w:lvlText w:val="%9."/>
      <w:lvlJc w:val="end"/>
      <w:pPr>
        <w:ind w:start="324pt" w:hanging="9pt"/>
      </w:pPr>
    </w:lvl>
  </w:abstractNum>
  <w:abstractNum w:abstractNumId="13" w15:restartNumberingAfterBreak="0">
    <w:nsid w:val="20AF0333"/>
    <w:multiLevelType w:val="hybridMultilevel"/>
    <w:tmpl w:val="CB0E7F4E"/>
    <w:lvl w:ilvl="0" w:tplc="E09099E0">
      <w:start w:val="1"/>
      <w:numFmt w:val="lowerLetter"/>
      <w:lvlText w:val="%1."/>
      <w:lvlJc w:val="start"/>
      <w:pPr>
        <w:tabs>
          <w:tab w:val="num" w:pos="36pt"/>
        </w:tabs>
        <w:ind w:start="36pt" w:hanging="18pt"/>
      </w:pPr>
      <w:rPr>
        <w:rFonts w:cs="Times New Roman" w:hint="default"/>
        <w:i w:val="0"/>
        <w:iCs w:val="0"/>
      </w:rPr>
    </w:lvl>
    <w:lvl w:ilvl="1" w:tplc="04090019">
      <w:start w:val="1"/>
      <w:numFmt w:val="lowerLetter"/>
      <w:lvlText w:val="%2."/>
      <w:lvlJc w:val="start"/>
      <w:pPr>
        <w:tabs>
          <w:tab w:val="num" w:pos="72pt"/>
        </w:tabs>
        <w:ind w:start="72pt" w:hanging="18pt"/>
      </w:pPr>
      <w:rPr>
        <w:rFonts w:cs="Times New Roman"/>
      </w:rPr>
    </w:lvl>
    <w:lvl w:ilvl="2" w:tplc="0409001B">
      <w:start w:val="1"/>
      <w:numFmt w:val="lowerRoman"/>
      <w:lvlText w:val="%3."/>
      <w:lvlJc w:val="end"/>
      <w:pPr>
        <w:tabs>
          <w:tab w:val="num" w:pos="108pt"/>
        </w:tabs>
        <w:ind w:start="108pt" w:hanging="9pt"/>
      </w:pPr>
      <w:rPr>
        <w:rFonts w:cs="Times New Roman"/>
      </w:rPr>
    </w:lvl>
    <w:lvl w:ilvl="3" w:tplc="0409000F">
      <w:start w:val="1"/>
      <w:numFmt w:val="decimal"/>
      <w:lvlText w:val="%4."/>
      <w:lvlJc w:val="start"/>
      <w:pPr>
        <w:tabs>
          <w:tab w:val="num" w:pos="144pt"/>
        </w:tabs>
        <w:ind w:start="144pt" w:hanging="18pt"/>
      </w:pPr>
      <w:rPr>
        <w:rFonts w:cs="Times New Roman"/>
      </w:rPr>
    </w:lvl>
    <w:lvl w:ilvl="4" w:tplc="04090019">
      <w:start w:val="1"/>
      <w:numFmt w:val="lowerLetter"/>
      <w:lvlText w:val="%5."/>
      <w:lvlJc w:val="start"/>
      <w:pPr>
        <w:tabs>
          <w:tab w:val="num" w:pos="180pt"/>
        </w:tabs>
        <w:ind w:start="180pt" w:hanging="18pt"/>
      </w:pPr>
      <w:rPr>
        <w:rFonts w:cs="Times New Roman"/>
      </w:rPr>
    </w:lvl>
    <w:lvl w:ilvl="5" w:tplc="0409001B">
      <w:start w:val="1"/>
      <w:numFmt w:val="lowerRoman"/>
      <w:lvlText w:val="%6."/>
      <w:lvlJc w:val="end"/>
      <w:pPr>
        <w:tabs>
          <w:tab w:val="num" w:pos="216pt"/>
        </w:tabs>
        <w:ind w:start="216pt" w:hanging="9pt"/>
      </w:pPr>
      <w:rPr>
        <w:rFonts w:cs="Times New Roman"/>
      </w:rPr>
    </w:lvl>
    <w:lvl w:ilvl="6" w:tplc="0409000F">
      <w:start w:val="1"/>
      <w:numFmt w:val="decimal"/>
      <w:lvlText w:val="%7."/>
      <w:lvlJc w:val="start"/>
      <w:pPr>
        <w:tabs>
          <w:tab w:val="num" w:pos="252pt"/>
        </w:tabs>
        <w:ind w:start="252pt" w:hanging="18pt"/>
      </w:pPr>
      <w:rPr>
        <w:rFonts w:cs="Times New Roman"/>
      </w:rPr>
    </w:lvl>
    <w:lvl w:ilvl="7" w:tplc="04090019">
      <w:start w:val="1"/>
      <w:numFmt w:val="lowerLetter"/>
      <w:lvlText w:val="%8."/>
      <w:lvlJc w:val="start"/>
      <w:pPr>
        <w:tabs>
          <w:tab w:val="num" w:pos="288pt"/>
        </w:tabs>
        <w:ind w:start="288pt" w:hanging="18pt"/>
      </w:pPr>
      <w:rPr>
        <w:rFonts w:cs="Times New Roman"/>
      </w:rPr>
    </w:lvl>
    <w:lvl w:ilvl="8" w:tplc="0409001B">
      <w:start w:val="1"/>
      <w:numFmt w:val="lowerRoman"/>
      <w:lvlText w:val="%9."/>
      <w:lvlJc w:val="end"/>
      <w:pPr>
        <w:tabs>
          <w:tab w:val="num" w:pos="324pt"/>
        </w:tabs>
        <w:ind w:start="324pt" w:hanging="9pt"/>
      </w:pPr>
      <w:rPr>
        <w:rFonts w:cs="Times New Roman"/>
      </w:rPr>
    </w:lvl>
  </w:abstractNum>
  <w:abstractNum w:abstractNumId="14" w15:restartNumberingAfterBreak="0">
    <w:nsid w:val="26FE1FCF"/>
    <w:multiLevelType w:val="hybridMultilevel"/>
    <w:tmpl w:val="33826962"/>
    <w:lvl w:ilvl="0" w:tplc="A2947960">
      <w:start w:val="1"/>
      <w:numFmt w:val="decimal"/>
      <w:pStyle w:val="footnote"/>
      <w:lvlText w:val="%1 "/>
      <w:lvlJc w:val="start"/>
      <w:pPr>
        <w:tabs>
          <w:tab w:val="num" w:pos="32.40pt"/>
        </w:tabs>
        <w:ind w:firstLine="14.40pt"/>
      </w:pPr>
      <w:rPr>
        <w:rFonts w:ascii="Times New Roman" w:hAnsi="Times New Roman" w:cs="Times New Roman" w:hint="default"/>
        <w:b w:val="0"/>
        <w:bCs w:val="0"/>
        <w:i w:val="0"/>
        <w:iCs w:val="0"/>
        <w:caps w:val="0"/>
        <w:strike w:val="0"/>
        <w:dstrike w:val="0"/>
        <w:vanish w:val="0"/>
        <w:color w:val="000000"/>
        <w:sz w:val="16"/>
        <w:szCs w:val="16"/>
        <w:vertAlign w:val="superscript"/>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lowerLetter"/>
      <w:lvlText w:val="%2."/>
      <w:lvlJc w:val="start"/>
      <w:pPr>
        <w:tabs>
          <w:tab w:val="num" w:pos="72pt"/>
        </w:tabs>
        <w:ind w:start="72pt" w:hanging="18pt"/>
      </w:pPr>
      <w:rPr>
        <w:rFonts w:cs="Times New Roman"/>
      </w:rPr>
    </w:lvl>
    <w:lvl w:ilvl="2" w:tplc="0409001B">
      <w:start w:val="1"/>
      <w:numFmt w:val="lowerRoman"/>
      <w:lvlText w:val="%3."/>
      <w:lvlJc w:val="end"/>
      <w:pPr>
        <w:tabs>
          <w:tab w:val="num" w:pos="108pt"/>
        </w:tabs>
        <w:ind w:start="108pt" w:hanging="9pt"/>
      </w:pPr>
      <w:rPr>
        <w:rFonts w:cs="Times New Roman"/>
      </w:rPr>
    </w:lvl>
    <w:lvl w:ilvl="3" w:tplc="0409000F">
      <w:start w:val="1"/>
      <w:numFmt w:val="decimal"/>
      <w:lvlText w:val="%4."/>
      <w:lvlJc w:val="start"/>
      <w:pPr>
        <w:tabs>
          <w:tab w:val="num" w:pos="144pt"/>
        </w:tabs>
        <w:ind w:start="144pt" w:hanging="18pt"/>
      </w:pPr>
      <w:rPr>
        <w:rFonts w:cs="Times New Roman"/>
      </w:rPr>
    </w:lvl>
    <w:lvl w:ilvl="4" w:tplc="04090019">
      <w:start w:val="1"/>
      <w:numFmt w:val="lowerLetter"/>
      <w:lvlText w:val="%5."/>
      <w:lvlJc w:val="start"/>
      <w:pPr>
        <w:tabs>
          <w:tab w:val="num" w:pos="180pt"/>
        </w:tabs>
        <w:ind w:start="180pt" w:hanging="18pt"/>
      </w:pPr>
      <w:rPr>
        <w:rFonts w:cs="Times New Roman"/>
      </w:rPr>
    </w:lvl>
    <w:lvl w:ilvl="5" w:tplc="0409001B">
      <w:start w:val="1"/>
      <w:numFmt w:val="lowerRoman"/>
      <w:lvlText w:val="%6."/>
      <w:lvlJc w:val="end"/>
      <w:pPr>
        <w:tabs>
          <w:tab w:val="num" w:pos="216pt"/>
        </w:tabs>
        <w:ind w:start="216pt" w:hanging="9pt"/>
      </w:pPr>
      <w:rPr>
        <w:rFonts w:cs="Times New Roman"/>
      </w:rPr>
    </w:lvl>
    <w:lvl w:ilvl="6" w:tplc="0409000F">
      <w:start w:val="1"/>
      <w:numFmt w:val="decimal"/>
      <w:lvlText w:val="%7."/>
      <w:lvlJc w:val="start"/>
      <w:pPr>
        <w:tabs>
          <w:tab w:val="num" w:pos="252pt"/>
        </w:tabs>
        <w:ind w:start="252pt" w:hanging="18pt"/>
      </w:pPr>
      <w:rPr>
        <w:rFonts w:cs="Times New Roman"/>
      </w:rPr>
    </w:lvl>
    <w:lvl w:ilvl="7" w:tplc="04090019">
      <w:start w:val="1"/>
      <w:numFmt w:val="lowerLetter"/>
      <w:lvlText w:val="%8."/>
      <w:lvlJc w:val="start"/>
      <w:pPr>
        <w:tabs>
          <w:tab w:val="num" w:pos="288pt"/>
        </w:tabs>
        <w:ind w:start="288pt" w:hanging="18pt"/>
      </w:pPr>
      <w:rPr>
        <w:rFonts w:cs="Times New Roman"/>
      </w:rPr>
    </w:lvl>
    <w:lvl w:ilvl="8" w:tplc="0409001B">
      <w:start w:val="1"/>
      <w:numFmt w:val="lowerRoman"/>
      <w:lvlText w:val="%9."/>
      <w:lvlJc w:val="end"/>
      <w:pPr>
        <w:tabs>
          <w:tab w:val="num" w:pos="324pt"/>
        </w:tabs>
        <w:ind w:start="324pt" w:hanging="9pt"/>
      </w:pPr>
      <w:rPr>
        <w:rFonts w:cs="Times New Roman"/>
      </w:rPr>
    </w:lvl>
  </w:abstractNum>
  <w:abstractNum w:abstractNumId="15" w15:restartNumberingAfterBreak="0">
    <w:nsid w:val="37660336"/>
    <w:multiLevelType w:val="hybridMultilevel"/>
    <w:tmpl w:val="754EAC84"/>
    <w:lvl w:ilvl="0" w:tplc="C46877EA">
      <w:start w:val="1"/>
      <w:numFmt w:val="bullet"/>
      <w:pStyle w:val="bulletlist"/>
      <w:lvlText w:val=""/>
      <w:lvlJc w:val="start"/>
      <w:pPr>
        <w:tabs>
          <w:tab w:val="num" w:pos="32.40pt"/>
        </w:tabs>
        <w:ind w:start="32.40pt" w:hanging="18pt"/>
      </w:pPr>
      <w:rPr>
        <w:rFonts w:ascii="Symbol" w:hAnsi="Symbol" w:hint="default"/>
      </w:rPr>
    </w:lvl>
    <w:lvl w:ilvl="1" w:tplc="04090003">
      <w:start w:val="1"/>
      <w:numFmt w:val="bullet"/>
      <w:lvlText w:val="o"/>
      <w:lvlJc w:val="start"/>
      <w:pPr>
        <w:tabs>
          <w:tab w:val="num" w:pos="72pt"/>
        </w:tabs>
        <w:ind w:start="72pt" w:hanging="18pt"/>
      </w:pPr>
      <w:rPr>
        <w:rFonts w:ascii="Courier New" w:hAnsi="Courier New" w:hint="default"/>
      </w:rPr>
    </w:lvl>
    <w:lvl w:ilvl="2" w:tplc="04090005">
      <w:start w:val="1"/>
      <w:numFmt w:val="bullet"/>
      <w:lvlText w:val=""/>
      <w:lvlJc w:val="start"/>
      <w:pPr>
        <w:tabs>
          <w:tab w:val="num" w:pos="108pt"/>
        </w:tabs>
        <w:ind w:start="108pt" w:hanging="18pt"/>
      </w:pPr>
      <w:rPr>
        <w:rFonts w:ascii="Wingdings" w:hAnsi="Wingdings" w:hint="default"/>
      </w:rPr>
    </w:lvl>
    <w:lvl w:ilvl="3" w:tplc="04090001">
      <w:start w:val="1"/>
      <w:numFmt w:val="bullet"/>
      <w:lvlText w:val=""/>
      <w:lvlJc w:val="start"/>
      <w:pPr>
        <w:tabs>
          <w:tab w:val="num" w:pos="144pt"/>
        </w:tabs>
        <w:ind w:start="144pt" w:hanging="18pt"/>
      </w:pPr>
      <w:rPr>
        <w:rFonts w:ascii="Symbol" w:hAnsi="Symbol" w:hint="default"/>
      </w:rPr>
    </w:lvl>
    <w:lvl w:ilvl="4" w:tplc="04090003">
      <w:start w:val="1"/>
      <w:numFmt w:val="bullet"/>
      <w:lvlText w:val="o"/>
      <w:lvlJc w:val="start"/>
      <w:pPr>
        <w:tabs>
          <w:tab w:val="num" w:pos="180pt"/>
        </w:tabs>
        <w:ind w:start="180pt" w:hanging="18pt"/>
      </w:pPr>
      <w:rPr>
        <w:rFonts w:ascii="Courier New" w:hAnsi="Courier New" w:hint="default"/>
      </w:rPr>
    </w:lvl>
    <w:lvl w:ilvl="5" w:tplc="04090005">
      <w:start w:val="1"/>
      <w:numFmt w:val="bullet"/>
      <w:lvlText w:val=""/>
      <w:lvlJc w:val="start"/>
      <w:pPr>
        <w:tabs>
          <w:tab w:val="num" w:pos="216pt"/>
        </w:tabs>
        <w:ind w:start="216pt" w:hanging="18pt"/>
      </w:pPr>
      <w:rPr>
        <w:rFonts w:ascii="Wingdings" w:hAnsi="Wingdings" w:hint="default"/>
      </w:rPr>
    </w:lvl>
    <w:lvl w:ilvl="6" w:tplc="04090001">
      <w:start w:val="1"/>
      <w:numFmt w:val="bullet"/>
      <w:lvlText w:val=""/>
      <w:lvlJc w:val="start"/>
      <w:pPr>
        <w:tabs>
          <w:tab w:val="num" w:pos="252pt"/>
        </w:tabs>
        <w:ind w:start="252pt" w:hanging="18pt"/>
      </w:pPr>
      <w:rPr>
        <w:rFonts w:ascii="Symbol" w:hAnsi="Symbol" w:hint="default"/>
      </w:rPr>
    </w:lvl>
    <w:lvl w:ilvl="7" w:tplc="04090003">
      <w:start w:val="1"/>
      <w:numFmt w:val="bullet"/>
      <w:lvlText w:val="o"/>
      <w:lvlJc w:val="start"/>
      <w:pPr>
        <w:tabs>
          <w:tab w:val="num" w:pos="288pt"/>
        </w:tabs>
        <w:ind w:start="288pt" w:hanging="18pt"/>
      </w:pPr>
      <w:rPr>
        <w:rFonts w:ascii="Courier New" w:hAnsi="Courier New" w:hint="default"/>
      </w:rPr>
    </w:lvl>
    <w:lvl w:ilvl="8" w:tplc="04090005">
      <w:start w:val="1"/>
      <w:numFmt w:val="bullet"/>
      <w:lvlText w:val=""/>
      <w:lvlJc w:val="start"/>
      <w:pPr>
        <w:tabs>
          <w:tab w:val="num" w:pos="324pt"/>
        </w:tabs>
        <w:ind w:start="324pt" w:hanging="18pt"/>
      </w:pPr>
      <w:rPr>
        <w:rFonts w:ascii="Wingdings" w:hAnsi="Wingdings" w:hint="default"/>
      </w:rPr>
    </w:lvl>
  </w:abstractNum>
  <w:abstractNum w:abstractNumId="16" w15:restartNumberingAfterBreak="0">
    <w:nsid w:val="39E54FC6"/>
    <w:multiLevelType w:val="singleLevel"/>
    <w:tmpl w:val="5B7288D4"/>
    <w:lvl w:ilvl="0">
      <w:start w:val="14"/>
      <w:numFmt w:val="decimal"/>
      <w:lvlText w:val="%1"/>
      <w:lvlJc w:val="start"/>
      <w:pPr>
        <w:tabs>
          <w:tab w:val="num" w:pos="36pt"/>
        </w:tabs>
        <w:ind w:start="36pt" w:hanging="18pt"/>
      </w:pPr>
      <w:rPr>
        <w:rFonts w:cs="Times New Roman" w:hint="default"/>
      </w:rPr>
    </w:lvl>
  </w:abstractNum>
  <w:abstractNum w:abstractNumId="17" w15:restartNumberingAfterBreak="0">
    <w:nsid w:val="4189603E"/>
    <w:multiLevelType w:val="multilevel"/>
    <w:tmpl w:val="0AB06E12"/>
    <w:lvl w:ilvl="0">
      <w:start w:val="1"/>
      <w:numFmt w:val="upperRoman"/>
      <w:pStyle w:val="Heading1"/>
      <w:lvlText w:val="%1."/>
      <w:lvlJc w:val="center"/>
      <w:pPr>
        <w:tabs>
          <w:tab w:val="num" w:pos="28.80pt"/>
        </w:tabs>
        <w:ind w:firstLine="10.80pt"/>
      </w:pPr>
      <w:rPr>
        <w:rFonts w:ascii="Times New Roman" w:hAnsi="Times New Roman" w:cs="Times New Roman" w:hint="default"/>
        <w:caps w:val="0"/>
        <w:strike w:val="0"/>
        <w:dstrike w:val="0"/>
        <w:vanish w:val="0"/>
        <w:color w:val="auto"/>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upperLetter"/>
      <w:pStyle w:val="Heading2"/>
      <w:lvlText w:val="%2."/>
      <w:lvlJc w:val="start"/>
      <w:pPr>
        <w:tabs>
          <w:tab w:val="num" w:pos="18pt"/>
        </w:tabs>
        <w:ind w:start="14.40pt" w:hanging="14.40pt"/>
      </w:pPr>
      <w:rPr>
        <w:rFonts w:ascii="Times New Roman" w:hAnsi="Times New Roman" w:cs="Times New Roman" w:hint="default"/>
        <w:b w:val="0"/>
        <w:bCs w:val="0"/>
        <w:i/>
        <w:iCs/>
        <w:caps w:val="0"/>
        <w:strike w:val="0"/>
        <w:dstrike w:val="0"/>
        <w:vanish w:val="0"/>
        <w:color w:val="auto"/>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Heading3"/>
      <w:lvlText w:val="%3)"/>
      <w:lvlJc w:val="start"/>
      <w:pPr>
        <w:tabs>
          <w:tab w:val="num" w:pos="16.10pt"/>
        </w:tabs>
        <w:ind w:firstLine="9pt"/>
      </w:pPr>
      <w:rPr>
        <w:rFonts w:ascii="Times New Roman" w:hAnsi="Times New Roman" w:cs="Times New Roman" w:hint="default"/>
        <w:b w:val="0"/>
        <w:bCs w:val="0"/>
        <w:i/>
        <w:iCs/>
        <w:caps w:val="0"/>
        <w:strike w:val="0"/>
        <w:dstrike w:val="0"/>
        <w:vanish w:val="0"/>
        <w:color w:val="auto"/>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lowerLetter"/>
      <w:pStyle w:val="Heading4"/>
      <w:lvlText w:val="%4)"/>
      <w:lvlJc w:val="start"/>
      <w:pPr>
        <w:tabs>
          <w:tab w:val="num" w:pos="31.50pt"/>
        </w:tabs>
        <w:ind w:firstLine="18pt"/>
      </w:pPr>
      <w:rPr>
        <w:rFonts w:ascii="Times New Roman" w:hAnsi="Times New Roman" w:cs="Times New Roman" w:hint="default"/>
        <w:b w:val="0"/>
        <w:bCs w:val="0"/>
        <w:i/>
        <w:iCs/>
        <w:sz w:val="20"/>
        <w:szCs w:val="20"/>
      </w:rPr>
    </w:lvl>
    <w:lvl w:ilvl="4">
      <w:start w:val="1"/>
      <w:numFmt w:val="none"/>
      <w:lvlRestart w:val="0"/>
      <w:lvlText w:val=""/>
      <w:lvlJc w:val="start"/>
      <w:pPr>
        <w:tabs>
          <w:tab w:val="num" w:pos="162pt"/>
        </w:tabs>
        <w:ind w:start="144pt"/>
      </w:pPr>
      <w:rPr>
        <w:rFonts w:cs="Times New Roman" w:hint="default"/>
      </w:rPr>
    </w:lvl>
    <w:lvl w:ilvl="5">
      <w:start w:val="1"/>
      <w:numFmt w:val="lowerLetter"/>
      <w:lvlText w:val="(%6)"/>
      <w:lvlJc w:val="start"/>
      <w:pPr>
        <w:tabs>
          <w:tab w:val="num" w:pos="198pt"/>
        </w:tabs>
        <w:ind w:start="180pt"/>
      </w:pPr>
      <w:rPr>
        <w:rFonts w:cs="Times New Roman" w:hint="default"/>
      </w:rPr>
    </w:lvl>
    <w:lvl w:ilvl="6">
      <w:start w:val="1"/>
      <w:numFmt w:val="lowerRoman"/>
      <w:lvlText w:val="(%7)"/>
      <w:lvlJc w:val="start"/>
      <w:pPr>
        <w:tabs>
          <w:tab w:val="num" w:pos="234pt"/>
        </w:tabs>
        <w:ind w:start="216pt"/>
      </w:pPr>
      <w:rPr>
        <w:rFonts w:cs="Times New Roman" w:hint="default"/>
      </w:rPr>
    </w:lvl>
    <w:lvl w:ilvl="7">
      <w:start w:val="1"/>
      <w:numFmt w:val="lowerLetter"/>
      <w:lvlText w:val="(%8)"/>
      <w:lvlJc w:val="start"/>
      <w:pPr>
        <w:tabs>
          <w:tab w:val="num" w:pos="270pt"/>
        </w:tabs>
        <w:ind w:start="252pt"/>
      </w:pPr>
      <w:rPr>
        <w:rFonts w:cs="Times New Roman" w:hint="default"/>
      </w:rPr>
    </w:lvl>
    <w:lvl w:ilvl="8">
      <w:start w:val="1"/>
      <w:numFmt w:val="lowerRoman"/>
      <w:lvlText w:val="(%9)"/>
      <w:lvlJc w:val="start"/>
      <w:pPr>
        <w:tabs>
          <w:tab w:val="num" w:pos="306pt"/>
        </w:tabs>
        <w:ind w:start="288pt"/>
      </w:pPr>
      <w:rPr>
        <w:rFonts w:cs="Times New Roman" w:hint="default"/>
      </w:rPr>
    </w:lvl>
  </w:abstractNum>
  <w:abstractNum w:abstractNumId="18" w15:restartNumberingAfterBreak="0">
    <w:nsid w:val="44FB00F7"/>
    <w:multiLevelType w:val="hybridMultilevel"/>
    <w:tmpl w:val="57828978"/>
    <w:lvl w:ilvl="0" w:tplc="191A5496">
      <w:start w:val="1"/>
      <w:numFmt w:val="decimal"/>
      <w:lvlText w:val="[%1]"/>
      <w:lvlJc w:val="start"/>
      <w:pPr>
        <w:ind w:start="38.75pt" w:hanging="18pt"/>
      </w:pPr>
      <w:rPr>
        <w:rFonts w:hint="default"/>
      </w:rPr>
    </w:lvl>
    <w:lvl w:ilvl="1" w:tplc="0C000019" w:tentative="1">
      <w:start w:val="1"/>
      <w:numFmt w:val="lowerLetter"/>
      <w:lvlText w:val="%2."/>
      <w:lvlJc w:val="start"/>
      <w:pPr>
        <w:ind w:start="74.75pt" w:hanging="18pt"/>
      </w:pPr>
    </w:lvl>
    <w:lvl w:ilvl="2" w:tplc="0C00001B" w:tentative="1">
      <w:start w:val="1"/>
      <w:numFmt w:val="lowerRoman"/>
      <w:lvlText w:val="%3."/>
      <w:lvlJc w:val="end"/>
      <w:pPr>
        <w:ind w:start="110.75pt" w:hanging="9pt"/>
      </w:pPr>
    </w:lvl>
    <w:lvl w:ilvl="3" w:tplc="0C00000F" w:tentative="1">
      <w:start w:val="1"/>
      <w:numFmt w:val="decimal"/>
      <w:lvlText w:val="%4."/>
      <w:lvlJc w:val="start"/>
      <w:pPr>
        <w:ind w:start="146.75pt" w:hanging="18pt"/>
      </w:pPr>
    </w:lvl>
    <w:lvl w:ilvl="4" w:tplc="0C000019" w:tentative="1">
      <w:start w:val="1"/>
      <w:numFmt w:val="lowerLetter"/>
      <w:lvlText w:val="%5."/>
      <w:lvlJc w:val="start"/>
      <w:pPr>
        <w:ind w:start="182.75pt" w:hanging="18pt"/>
      </w:pPr>
    </w:lvl>
    <w:lvl w:ilvl="5" w:tplc="0C00001B" w:tentative="1">
      <w:start w:val="1"/>
      <w:numFmt w:val="lowerRoman"/>
      <w:lvlText w:val="%6."/>
      <w:lvlJc w:val="end"/>
      <w:pPr>
        <w:ind w:start="218.75pt" w:hanging="9pt"/>
      </w:pPr>
    </w:lvl>
    <w:lvl w:ilvl="6" w:tplc="0C00000F" w:tentative="1">
      <w:start w:val="1"/>
      <w:numFmt w:val="decimal"/>
      <w:lvlText w:val="%7."/>
      <w:lvlJc w:val="start"/>
      <w:pPr>
        <w:ind w:start="254.75pt" w:hanging="18pt"/>
      </w:pPr>
    </w:lvl>
    <w:lvl w:ilvl="7" w:tplc="0C000019" w:tentative="1">
      <w:start w:val="1"/>
      <w:numFmt w:val="lowerLetter"/>
      <w:lvlText w:val="%8."/>
      <w:lvlJc w:val="start"/>
      <w:pPr>
        <w:ind w:start="290.75pt" w:hanging="18pt"/>
      </w:pPr>
    </w:lvl>
    <w:lvl w:ilvl="8" w:tplc="0C00001B" w:tentative="1">
      <w:start w:val="1"/>
      <w:numFmt w:val="lowerRoman"/>
      <w:lvlText w:val="%9."/>
      <w:lvlJc w:val="end"/>
      <w:pPr>
        <w:ind w:start="326.75pt" w:hanging="9pt"/>
      </w:pPr>
    </w:lvl>
  </w:abstractNum>
  <w:abstractNum w:abstractNumId="19" w15:restartNumberingAfterBreak="0">
    <w:nsid w:val="493C3F76"/>
    <w:multiLevelType w:val="hybridMultilevel"/>
    <w:tmpl w:val="9A9E418C"/>
    <w:lvl w:ilvl="0" w:tplc="2C18EFA4">
      <w:start w:val="1"/>
      <w:numFmt w:val="lowerLetter"/>
      <w:pStyle w:val="tablefootnote"/>
      <w:lvlText w:val="%1."/>
      <w:lvlJc w:val="end"/>
      <w:pPr>
        <w:ind w:start="20.90pt" w:hanging="18pt"/>
      </w:pPr>
      <w:rPr>
        <w:rFonts w:ascii="Times New Roman" w:hAnsi="Times New Roman" w:hint="default"/>
        <w:b w:val="0"/>
        <w:i w:val="0"/>
        <w:caps w:val="0"/>
        <w:strike w:val="0"/>
        <w:dstrike w:val="0"/>
        <w:vanish w:val="0"/>
        <w:color w:val="auto"/>
        <w:spacing w:val="0"/>
        <w:w w:val="100%"/>
        <w:kern w:val="0"/>
        <w:position w:val="0"/>
        <w:sz w:val="16"/>
        <w:vertAlign w:val="superscript"/>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start"/>
      <w:pPr>
        <w:ind w:start="72pt" w:hanging="18pt"/>
      </w:pPr>
    </w:lvl>
    <w:lvl w:ilvl="2" w:tplc="0409001B" w:tentative="1">
      <w:start w:val="1"/>
      <w:numFmt w:val="lowerRoman"/>
      <w:lvlText w:val="%3."/>
      <w:lvlJc w:val="end"/>
      <w:pPr>
        <w:ind w:start="108pt" w:hanging="9pt"/>
      </w:pPr>
    </w:lvl>
    <w:lvl w:ilvl="3" w:tplc="0409000F" w:tentative="1">
      <w:start w:val="1"/>
      <w:numFmt w:val="decimal"/>
      <w:lvlText w:val="%4."/>
      <w:lvlJc w:val="start"/>
      <w:pPr>
        <w:ind w:start="144pt" w:hanging="18pt"/>
      </w:pPr>
    </w:lvl>
    <w:lvl w:ilvl="4" w:tplc="04090019" w:tentative="1">
      <w:start w:val="1"/>
      <w:numFmt w:val="lowerLetter"/>
      <w:lvlText w:val="%5."/>
      <w:lvlJc w:val="start"/>
      <w:pPr>
        <w:ind w:start="180pt" w:hanging="18pt"/>
      </w:pPr>
    </w:lvl>
    <w:lvl w:ilvl="5" w:tplc="0409001B" w:tentative="1">
      <w:start w:val="1"/>
      <w:numFmt w:val="lowerRoman"/>
      <w:lvlText w:val="%6."/>
      <w:lvlJc w:val="end"/>
      <w:pPr>
        <w:ind w:start="216pt" w:hanging="9pt"/>
      </w:pPr>
    </w:lvl>
    <w:lvl w:ilvl="6" w:tplc="0409000F" w:tentative="1">
      <w:start w:val="1"/>
      <w:numFmt w:val="decimal"/>
      <w:lvlText w:val="%7."/>
      <w:lvlJc w:val="start"/>
      <w:pPr>
        <w:ind w:start="252pt" w:hanging="18pt"/>
      </w:pPr>
    </w:lvl>
    <w:lvl w:ilvl="7" w:tplc="04090019" w:tentative="1">
      <w:start w:val="1"/>
      <w:numFmt w:val="lowerLetter"/>
      <w:lvlText w:val="%8."/>
      <w:lvlJc w:val="start"/>
      <w:pPr>
        <w:ind w:start="288pt" w:hanging="18pt"/>
      </w:pPr>
    </w:lvl>
    <w:lvl w:ilvl="8" w:tplc="0409001B" w:tentative="1">
      <w:start w:val="1"/>
      <w:numFmt w:val="lowerRoman"/>
      <w:lvlText w:val="%9."/>
      <w:lvlJc w:val="end"/>
      <w:pPr>
        <w:ind w:start="324pt" w:hanging="9pt"/>
      </w:pPr>
    </w:lvl>
  </w:abstractNum>
  <w:abstractNum w:abstractNumId="20" w15:restartNumberingAfterBreak="0">
    <w:nsid w:val="52CA544A"/>
    <w:multiLevelType w:val="singleLevel"/>
    <w:tmpl w:val="AED6D67E"/>
    <w:lvl w:ilvl="0">
      <w:start w:val="1"/>
      <w:numFmt w:val="decimal"/>
      <w:pStyle w:val="references"/>
      <w:lvlText w:val="[%1]"/>
      <w:lvlJc w:val="start"/>
      <w:pPr>
        <w:tabs>
          <w:tab w:val="num" w:pos="18pt"/>
        </w:tabs>
        <w:ind w:start="18pt" w:hanging="18pt"/>
      </w:pPr>
      <w:rPr>
        <w:rFonts w:ascii="Times New Roman" w:hAnsi="Times New Roman" w:cs="Times New Roman" w:hint="default"/>
        <w:b w:val="0"/>
        <w:bCs w:val="0"/>
        <w:i w:val="0"/>
        <w:iCs w:val="0"/>
        <w:sz w:val="16"/>
        <w:szCs w:val="16"/>
      </w:rPr>
    </w:lvl>
  </w:abstractNum>
  <w:abstractNum w:abstractNumId="21" w15:restartNumberingAfterBreak="0">
    <w:nsid w:val="5AE1410E"/>
    <w:multiLevelType w:val="hybridMultilevel"/>
    <w:tmpl w:val="CB4EFE58"/>
    <w:lvl w:ilvl="0" w:tplc="191A5496">
      <w:start w:val="1"/>
      <w:numFmt w:val="decimal"/>
      <w:lvlText w:val="[%1]"/>
      <w:lvlJc w:val="start"/>
      <w:pPr>
        <w:ind w:start="25.10pt" w:hanging="18pt"/>
      </w:pPr>
      <w:rPr>
        <w:rFonts w:hint="default"/>
      </w:rPr>
    </w:lvl>
    <w:lvl w:ilvl="1" w:tplc="04090019" w:tentative="1">
      <w:start w:val="1"/>
      <w:numFmt w:val="lowerLetter"/>
      <w:lvlText w:val="%2."/>
      <w:lvlJc w:val="start"/>
      <w:pPr>
        <w:ind w:start="61.10pt" w:hanging="18pt"/>
      </w:pPr>
    </w:lvl>
    <w:lvl w:ilvl="2" w:tplc="0409001B" w:tentative="1">
      <w:start w:val="1"/>
      <w:numFmt w:val="lowerRoman"/>
      <w:lvlText w:val="%3."/>
      <w:lvlJc w:val="end"/>
      <w:pPr>
        <w:ind w:start="97.10pt" w:hanging="9pt"/>
      </w:pPr>
    </w:lvl>
    <w:lvl w:ilvl="3" w:tplc="0409000F" w:tentative="1">
      <w:start w:val="1"/>
      <w:numFmt w:val="decimal"/>
      <w:lvlText w:val="%4."/>
      <w:lvlJc w:val="start"/>
      <w:pPr>
        <w:ind w:start="133.10pt" w:hanging="18pt"/>
      </w:pPr>
    </w:lvl>
    <w:lvl w:ilvl="4" w:tplc="04090019" w:tentative="1">
      <w:start w:val="1"/>
      <w:numFmt w:val="lowerLetter"/>
      <w:lvlText w:val="%5."/>
      <w:lvlJc w:val="start"/>
      <w:pPr>
        <w:ind w:start="169.10pt" w:hanging="18pt"/>
      </w:pPr>
    </w:lvl>
    <w:lvl w:ilvl="5" w:tplc="0409001B" w:tentative="1">
      <w:start w:val="1"/>
      <w:numFmt w:val="lowerRoman"/>
      <w:lvlText w:val="%6."/>
      <w:lvlJc w:val="end"/>
      <w:pPr>
        <w:ind w:start="205.10pt" w:hanging="9pt"/>
      </w:pPr>
    </w:lvl>
    <w:lvl w:ilvl="6" w:tplc="0409000F" w:tentative="1">
      <w:start w:val="1"/>
      <w:numFmt w:val="decimal"/>
      <w:lvlText w:val="%7."/>
      <w:lvlJc w:val="start"/>
      <w:pPr>
        <w:ind w:start="241.10pt" w:hanging="18pt"/>
      </w:pPr>
    </w:lvl>
    <w:lvl w:ilvl="7" w:tplc="04090019" w:tentative="1">
      <w:start w:val="1"/>
      <w:numFmt w:val="lowerLetter"/>
      <w:lvlText w:val="%8."/>
      <w:lvlJc w:val="start"/>
      <w:pPr>
        <w:ind w:start="277.10pt" w:hanging="18pt"/>
      </w:pPr>
    </w:lvl>
    <w:lvl w:ilvl="8" w:tplc="0409001B" w:tentative="1">
      <w:start w:val="1"/>
      <w:numFmt w:val="lowerRoman"/>
      <w:lvlText w:val="%9."/>
      <w:lvlJc w:val="end"/>
      <w:pPr>
        <w:ind w:start="313.10pt" w:hanging="9pt"/>
      </w:pPr>
    </w:lvl>
  </w:abstractNum>
  <w:abstractNum w:abstractNumId="22" w15:restartNumberingAfterBreak="0">
    <w:nsid w:val="6C402C58"/>
    <w:multiLevelType w:val="hybridMultilevel"/>
    <w:tmpl w:val="9A1CA078"/>
    <w:lvl w:ilvl="0" w:tplc="C8D6570A">
      <w:start w:val="1"/>
      <w:numFmt w:val="decimal"/>
      <w:pStyle w:val="figurecaption"/>
      <w:lvlText w:val="Fig. %1."/>
      <w:lvlJc w:val="start"/>
      <w:pPr>
        <w:ind w:start="18pt" w:hanging="18pt"/>
      </w:pPr>
      <w:rPr>
        <w:rFonts w:ascii="Times New Roman" w:hAnsi="Times New Roman" w:cs="Times New Roman" w:hint="default"/>
        <w:b w:val="0"/>
        <w:bCs w:val="0"/>
        <w:i w:val="0"/>
        <w:iCs w:val="0"/>
        <w:color w:val="auto"/>
        <w:sz w:val="16"/>
        <w:szCs w:val="16"/>
      </w:rPr>
    </w:lvl>
    <w:lvl w:ilvl="1" w:tplc="04090019">
      <w:start w:val="1"/>
      <w:numFmt w:val="lowerLetter"/>
      <w:lvlText w:val="%2."/>
      <w:lvlJc w:val="start"/>
      <w:pPr>
        <w:tabs>
          <w:tab w:val="num" w:pos="72pt"/>
        </w:tabs>
        <w:ind w:start="72pt" w:hanging="18pt"/>
      </w:pPr>
      <w:rPr>
        <w:rFonts w:cs="Times New Roman"/>
      </w:rPr>
    </w:lvl>
    <w:lvl w:ilvl="2" w:tplc="0409001B">
      <w:start w:val="1"/>
      <w:numFmt w:val="lowerRoman"/>
      <w:lvlText w:val="%3."/>
      <w:lvlJc w:val="end"/>
      <w:pPr>
        <w:tabs>
          <w:tab w:val="num" w:pos="108pt"/>
        </w:tabs>
        <w:ind w:start="108pt" w:hanging="9pt"/>
      </w:pPr>
      <w:rPr>
        <w:rFonts w:cs="Times New Roman"/>
      </w:rPr>
    </w:lvl>
    <w:lvl w:ilvl="3" w:tplc="0409000F">
      <w:start w:val="1"/>
      <w:numFmt w:val="decimal"/>
      <w:lvlText w:val="%4."/>
      <w:lvlJc w:val="start"/>
      <w:pPr>
        <w:tabs>
          <w:tab w:val="num" w:pos="144pt"/>
        </w:tabs>
        <w:ind w:start="144pt" w:hanging="18pt"/>
      </w:pPr>
      <w:rPr>
        <w:rFonts w:cs="Times New Roman"/>
      </w:rPr>
    </w:lvl>
    <w:lvl w:ilvl="4" w:tplc="04090019">
      <w:start w:val="1"/>
      <w:numFmt w:val="lowerLetter"/>
      <w:lvlText w:val="%5."/>
      <w:lvlJc w:val="start"/>
      <w:pPr>
        <w:tabs>
          <w:tab w:val="num" w:pos="180pt"/>
        </w:tabs>
        <w:ind w:start="180pt" w:hanging="18pt"/>
      </w:pPr>
      <w:rPr>
        <w:rFonts w:cs="Times New Roman"/>
      </w:rPr>
    </w:lvl>
    <w:lvl w:ilvl="5" w:tplc="0409001B">
      <w:start w:val="1"/>
      <w:numFmt w:val="lowerRoman"/>
      <w:lvlText w:val="%6."/>
      <w:lvlJc w:val="end"/>
      <w:pPr>
        <w:tabs>
          <w:tab w:val="num" w:pos="216pt"/>
        </w:tabs>
        <w:ind w:start="216pt" w:hanging="9pt"/>
      </w:pPr>
      <w:rPr>
        <w:rFonts w:cs="Times New Roman"/>
      </w:rPr>
    </w:lvl>
    <w:lvl w:ilvl="6" w:tplc="0409000F">
      <w:start w:val="1"/>
      <w:numFmt w:val="decimal"/>
      <w:lvlText w:val="%7."/>
      <w:lvlJc w:val="start"/>
      <w:pPr>
        <w:tabs>
          <w:tab w:val="num" w:pos="252pt"/>
        </w:tabs>
        <w:ind w:start="252pt" w:hanging="18pt"/>
      </w:pPr>
      <w:rPr>
        <w:rFonts w:cs="Times New Roman"/>
      </w:rPr>
    </w:lvl>
    <w:lvl w:ilvl="7" w:tplc="04090019">
      <w:start w:val="1"/>
      <w:numFmt w:val="lowerLetter"/>
      <w:lvlText w:val="%8."/>
      <w:lvlJc w:val="start"/>
      <w:pPr>
        <w:tabs>
          <w:tab w:val="num" w:pos="288pt"/>
        </w:tabs>
        <w:ind w:start="288pt" w:hanging="18pt"/>
      </w:pPr>
      <w:rPr>
        <w:rFonts w:cs="Times New Roman"/>
      </w:rPr>
    </w:lvl>
    <w:lvl w:ilvl="8" w:tplc="0409001B">
      <w:start w:val="1"/>
      <w:numFmt w:val="lowerRoman"/>
      <w:lvlText w:val="%9."/>
      <w:lvlJc w:val="end"/>
      <w:pPr>
        <w:tabs>
          <w:tab w:val="num" w:pos="324pt"/>
        </w:tabs>
        <w:ind w:start="324pt" w:hanging="9pt"/>
      </w:pPr>
      <w:rPr>
        <w:rFonts w:cs="Times New Roman"/>
      </w:rPr>
    </w:lvl>
  </w:abstractNum>
  <w:abstractNum w:abstractNumId="23" w15:restartNumberingAfterBreak="0">
    <w:nsid w:val="6CD32DA8"/>
    <w:multiLevelType w:val="singleLevel"/>
    <w:tmpl w:val="166470C2"/>
    <w:lvl w:ilvl="0">
      <w:start w:val="1"/>
      <w:numFmt w:val="upperRoman"/>
      <w:pStyle w:val="tablehead"/>
      <w:lvlText w:val="TABLE %1. "/>
      <w:lvlJc w:val="start"/>
      <w:pPr>
        <w:tabs>
          <w:tab w:val="num" w:pos="54pt"/>
        </w:tabs>
      </w:pPr>
      <w:rPr>
        <w:rFonts w:ascii="Times New Roman" w:hAnsi="Times New Roman" w:cs="Times New Roman" w:hint="default"/>
        <w:b w:val="0"/>
        <w:bCs w:val="0"/>
        <w:i w:val="0"/>
        <w:iCs w:val="0"/>
        <w:sz w:val="16"/>
        <w:szCs w:val="16"/>
      </w:rPr>
    </w:lvl>
  </w:abstractNum>
  <w:num w:numId="1">
    <w:abstractNumId w:val="15"/>
  </w:num>
  <w:num w:numId="2">
    <w:abstractNumId w:val="22"/>
  </w:num>
  <w:num w:numId="3">
    <w:abstractNumId w:val="14"/>
  </w:num>
  <w:num w:numId="4">
    <w:abstractNumId w:val="17"/>
  </w:num>
  <w:num w:numId="5">
    <w:abstractNumId w:val="17"/>
  </w:num>
  <w:num w:numId="6">
    <w:abstractNumId w:val="17"/>
  </w:num>
  <w:num w:numId="7">
    <w:abstractNumId w:val="17"/>
  </w:num>
  <w:num w:numId="8">
    <w:abstractNumId w:val="20"/>
  </w:num>
  <w:num w:numId="9">
    <w:abstractNumId w:val="23"/>
  </w:num>
  <w:num w:numId="10">
    <w:abstractNumId w:val="16"/>
  </w:num>
  <w:num w:numId="11">
    <w:abstractNumId w:val="13"/>
  </w:num>
  <w:num w:numId="12">
    <w:abstractNumId w:val="11"/>
  </w:num>
  <w:num w:numId="13">
    <w:abstractNumId w:val="0"/>
  </w:num>
  <w:num w:numId="14">
    <w:abstractNumId w:val="10"/>
  </w:num>
  <w:num w:numId="15">
    <w:abstractNumId w:val="8"/>
  </w:num>
  <w:num w:numId="16">
    <w:abstractNumId w:val="7"/>
  </w:num>
  <w:num w:numId="17">
    <w:abstractNumId w:val="6"/>
  </w:num>
  <w:num w:numId="18">
    <w:abstractNumId w:val="5"/>
  </w:num>
  <w:num w:numId="19">
    <w:abstractNumId w:val="9"/>
  </w:num>
  <w:num w:numId="20">
    <w:abstractNumId w:val="4"/>
  </w:num>
  <w:num w:numId="21">
    <w:abstractNumId w:val="3"/>
  </w:num>
  <w:num w:numId="22">
    <w:abstractNumId w:val="2"/>
  </w:num>
  <w:num w:numId="23">
    <w:abstractNumId w:val="1"/>
  </w:num>
  <w:num w:numId="24">
    <w:abstractNumId w:val="19"/>
  </w:num>
  <w:num w:numId="25">
    <w:abstractNumId w:val="12"/>
  </w:num>
  <w:num w:numId="26">
    <w:abstractNumId w:val="21"/>
  </w:num>
  <w:num w:numId="27">
    <w:abstractNumId w:val="18"/>
  </w:num>
</w:numbering>
</file>

<file path=word/settings.xml><?xml version="1.0" encoding="utf-8"?>
<w:settings xmlns:mc="http://schemas.openxmlformats.org/markup-compatibility/2006" xmlns:o="urn:schemas-microsoft-com:office:office" xmlns:r="http://purl.oclc.org/ooxml/officeDocument/relationships" xmlns:m="http://purl.oclc.org/ooxml/officeDocument/math" xmlns:v="urn:schemas-microsoft-com:vml" xmlns:w10="urn:schemas-microsoft-com:office:word" xmlns:w="http://purl.oclc.org/ooxml/wordprocessingml/main" xmlns:w14="http://schemas.microsoft.com/office/word/2010/wordml" xmlns:w15="http://schemas.microsoft.com/office/word/2012/wordml" xmlns:w16se="http://schemas.microsoft.com/office/word/2015/wordml/symex" xmlns:sl="http://schemas.openxmlformats.org/schemaLibrary/2006/main" mc:Ignorable="w14 w15 w16se">
  <w:zoom w:percent="98%"/>
  <w:embedSystemFonts/>
  <w:proofState w:spelling="clean" w:grammar="clean"/>
  <w:defaultTabStop w:val="36pt"/>
  <w:doNotHyphenateCaps/>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303D9"/>
    <w:rsid w:val="0004781E"/>
    <w:rsid w:val="0008758A"/>
    <w:rsid w:val="000C1E68"/>
    <w:rsid w:val="000D4D86"/>
    <w:rsid w:val="000E538F"/>
    <w:rsid w:val="0012009A"/>
    <w:rsid w:val="00133F72"/>
    <w:rsid w:val="00136E91"/>
    <w:rsid w:val="001452D4"/>
    <w:rsid w:val="001A2EFD"/>
    <w:rsid w:val="001A3B3D"/>
    <w:rsid w:val="001B67DC"/>
    <w:rsid w:val="001E6C17"/>
    <w:rsid w:val="002254A9"/>
    <w:rsid w:val="00233D97"/>
    <w:rsid w:val="002347A2"/>
    <w:rsid w:val="00253410"/>
    <w:rsid w:val="002850E3"/>
    <w:rsid w:val="00293B47"/>
    <w:rsid w:val="002D0570"/>
    <w:rsid w:val="00305ADB"/>
    <w:rsid w:val="00306D95"/>
    <w:rsid w:val="00354FCF"/>
    <w:rsid w:val="003A19E2"/>
    <w:rsid w:val="003B2B40"/>
    <w:rsid w:val="003B4E04"/>
    <w:rsid w:val="003F5A08"/>
    <w:rsid w:val="00420716"/>
    <w:rsid w:val="004306CD"/>
    <w:rsid w:val="004325FB"/>
    <w:rsid w:val="004432BA"/>
    <w:rsid w:val="0044407E"/>
    <w:rsid w:val="00447BB9"/>
    <w:rsid w:val="0046031D"/>
    <w:rsid w:val="00461BC4"/>
    <w:rsid w:val="00473AC9"/>
    <w:rsid w:val="004A5678"/>
    <w:rsid w:val="004D72B5"/>
    <w:rsid w:val="00551B7F"/>
    <w:rsid w:val="0056610F"/>
    <w:rsid w:val="00575BCA"/>
    <w:rsid w:val="005B0344"/>
    <w:rsid w:val="005B520E"/>
    <w:rsid w:val="005E2800"/>
    <w:rsid w:val="00605825"/>
    <w:rsid w:val="00645D22"/>
    <w:rsid w:val="00651A08"/>
    <w:rsid w:val="00654204"/>
    <w:rsid w:val="00662A6F"/>
    <w:rsid w:val="00670434"/>
    <w:rsid w:val="006A5D82"/>
    <w:rsid w:val="006B6B66"/>
    <w:rsid w:val="006D556F"/>
    <w:rsid w:val="006E64F7"/>
    <w:rsid w:val="006F6D3D"/>
    <w:rsid w:val="00712AB0"/>
    <w:rsid w:val="00715BEA"/>
    <w:rsid w:val="00740EEA"/>
    <w:rsid w:val="00741FC3"/>
    <w:rsid w:val="0075556D"/>
    <w:rsid w:val="00794804"/>
    <w:rsid w:val="007B33F1"/>
    <w:rsid w:val="007B6DDA"/>
    <w:rsid w:val="007C0308"/>
    <w:rsid w:val="007C2FF2"/>
    <w:rsid w:val="007D6232"/>
    <w:rsid w:val="007F16B8"/>
    <w:rsid w:val="007F1F99"/>
    <w:rsid w:val="007F34CD"/>
    <w:rsid w:val="007F768F"/>
    <w:rsid w:val="0080791D"/>
    <w:rsid w:val="008147B5"/>
    <w:rsid w:val="00836367"/>
    <w:rsid w:val="00873603"/>
    <w:rsid w:val="00875683"/>
    <w:rsid w:val="008A12B4"/>
    <w:rsid w:val="008A2C7D"/>
    <w:rsid w:val="008B6524"/>
    <w:rsid w:val="008C4B23"/>
    <w:rsid w:val="008F6E2C"/>
    <w:rsid w:val="009303D9"/>
    <w:rsid w:val="00933C64"/>
    <w:rsid w:val="00972203"/>
    <w:rsid w:val="009F1D79"/>
    <w:rsid w:val="00A059B3"/>
    <w:rsid w:val="00A341F0"/>
    <w:rsid w:val="00A37E15"/>
    <w:rsid w:val="00A46957"/>
    <w:rsid w:val="00AE3409"/>
    <w:rsid w:val="00B11A60"/>
    <w:rsid w:val="00B22613"/>
    <w:rsid w:val="00B42090"/>
    <w:rsid w:val="00B44A76"/>
    <w:rsid w:val="00B747F4"/>
    <w:rsid w:val="00B75A58"/>
    <w:rsid w:val="00B768D1"/>
    <w:rsid w:val="00BA1025"/>
    <w:rsid w:val="00BB21CE"/>
    <w:rsid w:val="00BC3420"/>
    <w:rsid w:val="00BD670B"/>
    <w:rsid w:val="00BE7D3C"/>
    <w:rsid w:val="00BF5FF6"/>
    <w:rsid w:val="00C0207F"/>
    <w:rsid w:val="00C16117"/>
    <w:rsid w:val="00C3075A"/>
    <w:rsid w:val="00C54359"/>
    <w:rsid w:val="00C80484"/>
    <w:rsid w:val="00C919A4"/>
    <w:rsid w:val="00C97713"/>
    <w:rsid w:val="00CA4392"/>
    <w:rsid w:val="00CC393F"/>
    <w:rsid w:val="00D2176E"/>
    <w:rsid w:val="00D52922"/>
    <w:rsid w:val="00D632BE"/>
    <w:rsid w:val="00D72D06"/>
    <w:rsid w:val="00D7522C"/>
    <w:rsid w:val="00D7536F"/>
    <w:rsid w:val="00D76668"/>
    <w:rsid w:val="00D95166"/>
    <w:rsid w:val="00E07383"/>
    <w:rsid w:val="00E165BC"/>
    <w:rsid w:val="00E61E12"/>
    <w:rsid w:val="00E7596C"/>
    <w:rsid w:val="00E878F2"/>
    <w:rsid w:val="00EC7119"/>
    <w:rsid w:val="00ED0149"/>
    <w:rsid w:val="00EF7DE3"/>
    <w:rsid w:val="00F03103"/>
    <w:rsid w:val="00F10C5C"/>
    <w:rsid w:val="00F271DE"/>
    <w:rsid w:val="00F627DA"/>
    <w:rsid w:val="00F67D14"/>
    <w:rsid w:val="00F7288F"/>
    <w:rsid w:val="00F847A6"/>
    <w:rsid w:val="00F9441B"/>
    <w:rsid w:val="00FA4C32"/>
    <w:rsid w:val="00FB13BE"/>
    <w:rsid w:val="00FE711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ecimalSymbol w:val="."/>
  <w:listSeparator w:val=","/>
  <w14:docId w14:val="65FC7D30"/>
  <w15:chartTrackingRefBased/>
  <w15:docId w15:val="{A06B0E13-911D-414F-95A3-4F75583AA0BA}"/>
</w:settings>
</file>

<file path=word/styles.xml><?xml version="1.0" encoding="utf-8"?>
<w:styles xmlns:mc="http://schemas.openxmlformats.org/markup-compatibility/2006" xmlns:r="http://purl.oclc.org/ooxml/officeDocument/relationships" xmlns:w="http://purl.oclc.org/ooxml/wordprocessingml/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qFormat="1"/>
    <w:lsdException w:name="Strong" w:qFormat="1"/>
    <w:lsdException w:name="Emphasis" w:uiPriority="20"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jc w:val="center"/>
    </w:pPr>
  </w:style>
  <w:style w:type="paragraph" w:styleId="Heading1">
    <w:name w:val="heading 1"/>
    <w:basedOn w:val="Normal"/>
    <w:next w:val="Normal"/>
    <w:qFormat/>
    <w:rsid w:val="006B6B66"/>
    <w:pPr>
      <w:keepNext/>
      <w:keepLines/>
      <w:numPr>
        <w:numId w:val="4"/>
      </w:numPr>
      <w:tabs>
        <w:tab w:val="start" w:pos="10.80pt"/>
      </w:tabs>
      <w:spacing w:before="8pt" w:after="4pt"/>
      <w:ind w:firstLine="0pt"/>
      <w:outlineLvl w:val="0"/>
    </w:pPr>
    <w:rPr>
      <w:smallCaps/>
      <w:noProof/>
    </w:rPr>
  </w:style>
  <w:style w:type="paragraph" w:styleId="Heading2">
    <w:name w:val="heading 2"/>
    <w:basedOn w:val="Normal"/>
    <w:next w:val="Normal"/>
    <w:qFormat/>
    <w:rsid w:val="00ED0149"/>
    <w:pPr>
      <w:keepNext/>
      <w:keepLines/>
      <w:numPr>
        <w:ilvl w:val="1"/>
        <w:numId w:val="4"/>
      </w:numPr>
      <w:tabs>
        <w:tab w:val="clear" w:pos="18pt"/>
        <w:tab w:val="num" w:pos="14.40pt"/>
      </w:tabs>
      <w:spacing w:before="6pt" w:after="3pt"/>
      <w:jc w:val="start"/>
      <w:outlineLvl w:val="1"/>
    </w:pPr>
    <w:rPr>
      <w:i/>
      <w:iCs/>
      <w:noProof/>
    </w:rPr>
  </w:style>
  <w:style w:type="paragraph" w:styleId="Heading3">
    <w:name w:val="heading 3"/>
    <w:basedOn w:val="Normal"/>
    <w:next w:val="Normal"/>
    <w:qFormat/>
    <w:rsid w:val="00794804"/>
    <w:pPr>
      <w:numPr>
        <w:ilvl w:val="2"/>
        <w:numId w:val="4"/>
      </w:numPr>
      <w:spacing w:line="12pt" w:lineRule="exact"/>
      <w:ind w:firstLine="14.40pt"/>
      <w:jc w:val="both"/>
      <w:outlineLvl w:val="2"/>
    </w:pPr>
    <w:rPr>
      <w:i/>
      <w:iCs/>
      <w:noProof/>
    </w:rPr>
  </w:style>
  <w:style w:type="paragraph" w:styleId="Heading4">
    <w:name w:val="heading 4"/>
    <w:basedOn w:val="Normal"/>
    <w:next w:val="Normal"/>
    <w:qFormat/>
    <w:rsid w:val="00794804"/>
    <w:pPr>
      <w:numPr>
        <w:ilvl w:val="3"/>
        <w:numId w:val="4"/>
      </w:numPr>
      <w:tabs>
        <w:tab w:val="clear" w:pos="31.50pt"/>
        <w:tab w:val="start" w:pos="36pt"/>
      </w:tabs>
      <w:spacing w:before="2pt" w:after="2pt"/>
      <w:ind w:firstLine="25.20pt"/>
      <w:jc w:val="both"/>
      <w:outlineLvl w:val="3"/>
    </w:pPr>
    <w:rPr>
      <w:i/>
      <w:iCs/>
      <w:noProof/>
    </w:rPr>
  </w:style>
  <w:style w:type="paragraph" w:styleId="Heading5">
    <w:name w:val="heading 5"/>
    <w:basedOn w:val="Normal"/>
    <w:next w:val="Normal"/>
    <w:qFormat/>
    <w:pPr>
      <w:tabs>
        <w:tab w:val="start" w:pos="18pt"/>
      </w:tabs>
      <w:spacing w:before="8pt" w:after="4pt"/>
      <w:outlineLvl w:val="4"/>
    </w:pPr>
    <w:rPr>
      <w:smallCaps/>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pt" w:type="dxa"/>
      <w:tblCellMar>
        <w:top w:w="0pt" w:type="dxa"/>
        <w:start w:w="5.40pt" w:type="dxa"/>
        <w:bottom w:w="0pt" w:type="dxa"/>
        <w:end w:w="5.40pt" w:type="dxa"/>
      </w:tblCellMar>
    </w:tblPr>
  </w:style>
  <w:style w:type="numbering" w:default="1" w:styleId="NoList">
    <w:name w:val="No List"/>
    <w:uiPriority w:val="99"/>
    <w:semiHidden/>
    <w:unhideWhenUsed/>
  </w:style>
  <w:style w:type="paragraph" w:customStyle="1" w:styleId="Abstract">
    <w:name w:val="Abstract"/>
    <w:rsid w:val="00972203"/>
    <w:pPr>
      <w:spacing w:after="10pt"/>
      <w:ind w:firstLine="13.60pt"/>
      <w:jc w:val="both"/>
    </w:pPr>
    <w:rPr>
      <w:b/>
      <w:bCs/>
      <w:sz w:val="18"/>
      <w:szCs w:val="18"/>
    </w:rPr>
  </w:style>
  <w:style w:type="paragraph" w:customStyle="1" w:styleId="Affiliation">
    <w:name w:val="Affiliation"/>
    <w:pPr>
      <w:jc w:val="center"/>
    </w:pPr>
  </w:style>
  <w:style w:type="paragraph" w:customStyle="1" w:styleId="Author">
    <w:name w:val="Author"/>
    <w:pPr>
      <w:spacing w:before="18pt" w:after="2pt"/>
      <w:jc w:val="center"/>
    </w:pPr>
    <w:rPr>
      <w:noProof/>
      <w:sz w:val="22"/>
      <w:szCs w:val="22"/>
    </w:rPr>
  </w:style>
  <w:style w:type="paragraph" w:styleId="BodyText">
    <w:name w:val="Body Text"/>
    <w:basedOn w:val="Normal"/>
    <w:link w:val="BodyTextChar"/>
    <w:rsid w:val="00E7596C"/>
    <w:pPr>
      <w:tabs>
        <w:tab w:val="start" w:pos="14.40pt"/>
      </w:tabs>
      <w:spacing w:after="6pt" w:line="11.40pt" w:lineRule="auto"/>
      <w:ind w:firstLine="14.40pt"/>
      <w:jc w:val="both"/>
    </w:pPr>
    <w:rPr>
      <w:spacing w:val="-1"/>
      <w:lang w:val="x-none" w:eastAsia="x-none"/>
    </w:rPr>
  </w:style>
  <w:style w:type="character" w:customStyle="1" w:styleId="BodyTextChar">
    <w:name w:val="Body Text Char"/>
    <w:link w:val="BodyText"/>
    <w:rsid w:val="00E7596C"/>
    <w:rPr>
      <w:spacing w:val="-1"/>
      <w:lang w:val="x-none" w:eastAsia="x-none"/>
    </w:rPr>
  </w:style>
  <w:style w:type="paragraph" w:customStyle="1" w:styleId="bulletlist">
    <w:name w:val="bullet list"/>
    <w:basedOn w:val="BodyText"/>
    <w:rsid w:val="001B67DC"/>
    <w:pPr>
      <w:numPr>
        <w:numId w:val="1"/>
      </w:numPr>
      <w:tabs>
        <w:tab w:val="clear" w:pos="32.40pt"/>
      </w:tabs>
      <w:ind w:start="28.80pt" w:hanging="14.40pt"/>
    </w:pPr>
  </w:style>
  <w:style w:type="paragraph" w:customStyle="1" w:styleId="equation">
    <w:name w:val="equation"/>
    <w:basedOn w:val="Normal"/>
    <w:rsid w:val="008A2C7D"/>
    <w:pPr>
      <w:tabs>
        <w:tab w:val="center" w:pos="126pt"/>
        <w:tab w:val="end" w:pos="252pt"/>
      </w:tabs>
      <w:spacing w:before="12pt" w:after="12pt" w:line="10.80pt" w:lineRule="auto"/>
    </w:pPr>
    <w:rPr>
      <w:rFonts w:ascii="Symbol" w:hAnsi="Symbol" w:cs="Symbol"/>
    </w:rPr>
  </w:style>
  <w:style w:type="paragraph" w:customStyle="1" w:styleId="figurecaption">
    <w:name w:val="figure caption"/>
    <w:rsid w:val="005B0344"/>
    <w:pPr>
      <w:numPr>
        <w:numId w:val="2"/>
      </w:numPr>
      <w:tabs>
        <w:tab w:val="start" w:pos="26.65pt"/>
      </w:tabs>
      <w:spacing w:before="4pt" w:after="10pt"/>
      <w:ind w:start="0pt" w:firstLine="0pt"/>
      <w:jc w:val="both"/>
    </w:pPr>
    <w:rPr>
      <w:noProof/>
      <w:sz w:val="16"/>
      <w:szCs w:val="16"/>
    </w:rPr>
  </w:style>
  <w:style w:type="paragraph" w:customStyle="1" w:styleId="footnote">
    <w:name w:val="footnote"/>
    <w:pPr>
      <w:framePr w:hSpace="9.35pt" w:vSpace="9.35pt" w:wrap="notBeside" w:vAnchor="text" w:hAnchor="page" w:x="306.05pt" w:y="28.85pt"/>
      <w:numPr>
        <w:numId w:val="3"/>
      </w:numPr>
      <w:spacing w:after="2pt"/>
    </w:pPr>
    <w:rPr>
      <w:sz w:val="16"/>
      <w:szCs w:val="16"/>
    </w:rPr>
  </w:style>
  <w:style w:type="paragraph" w:customStyle="1" w:styleId="papersubtitle">
    <w:name w:val="paper subtitle"/>
    <w:pPr>
      <w:spacing w:after="6pt"/>
      <w:jc w:val="center"/>
    </w:pPr>
    <w:rPr>
      <w:rFonts w:eastAsia="MS Mincho"/>
      <w:noProof/>
      <w:sz w:val="28"/>
      <w:szCs w:val="28"/>
    </w:rPr>
  </w:style>
  <w:style w:type="paragraph" w:customStyle="1" w:styleId="papertitle">
    <w:name w:val="paper title"/>
    <w:pPr>
      <w:spacing w:after="6pt"/>
      <w:jc w:val="center"/>
    </w:pPr>
    <w:rPr>
      <w:rFonts w:eastAsia="MS Mincho"/>
      <w:noProof/>
      <w:sz w:val="48"/>
      <w:szCs w:val="48"/>
    </w:rPr>
  </w:style>
  <w:style w:type="paragraph" w:customStyle="1" w:styleId="references">
    <w:name w:val="references"/>
    <w:pPr>
      <w:numPr>
        <w:numId w:val="8"/>
      </w:numPr>
      <w:spacing w:after="2.50pt" w:line="9pt" w:lineRule="exact"/>
      <w:jc w:val="both"/>
    </w:pPr>
    <w:rPr>
      <w:rFonts w:eastAsia="MS Mincho"/>
      <w:noProof/>
      <w:sz w:val="16"/>
      <w:szCs w:val="16"/>
    </w:rPr>
  </w:style>
  <w:style w:type="paragraph" w:customStyle="1" w:styleId="sponsors">
    <w:name w:val="sponsors"/>
    <w:pPr>
      <w:framePr w:wrap="auto" w:hAnchor="text" w:x="30.75pt" w:y="111.95pt"/>
      <w:pBdr>
        <w:top w:val="single" w:sz="4" w:space="2" w:color="auto"/>
      </w:pBdr>
      <w:ind w:firstLine="14.40pt"/>
    </w:pPr>
    <w:rPr>
      <w:sz w:val="16"/>
      <w:szCs w:val="16"/>
    </w:rPr>
  </w:style>
  <w:style w:type="paragraph" w:customStyle="1" w:styleId="tablecolhead">
    <w:name w:val="table col head"/>
    <w:basedOn w:val="Normal"/>
    <w:rPr>
      <w:b/>
      <w:bCs/>
      <w:sz w:val="16"/>
      <w:szCs w:val="16"/>
    </w:rPr>
  </w:style>
  <w:style w:type="paragraph" w:customStyle="1" w:styleId="tablecolsubhead">
    <w:name w:val="table col subhead"/>
    <w:basedOn w:val="tablecolhead"/>
    <w:rPr>
      <w:i/>
      <w:iCs/>
      <w:sz w:val="15"/>
      <w:szCs w:val="15"/>
    </w:rPr>
  </w:style>
  <w:style w:type="paragraph" w:customStyle="1" w:styleId="tablecopy">
    <w:name w:val="table copy"/>
    <w:pPr>
      <w:jc w:val="both"/>
    </w:pPr>
    <w:rPr>
      <w:noProof/>
      <w:sz w:val="16"/>
      <w:szCs w:val="16"/>
    </w:rPr>
  </w:style>
  <w:style w:type="paragraph" w:customStyle="1" w:styleId="tablefootnote">
    <w:name w:val="table footnote"/>
    <w:rsid w:val="005E2800"/>
    <w:pPr>
      <w:numPr>
        <w:numId w:val="24"/>
      </w:numPr>
      <w:spacing w:before="3pt" w:after="1.50pt"/>
      <w:ind w:start="2.90pt" w:hanging="1.45pt"/>
      <w:jc w:val="end"/>
    </w:pPr>
    <w:rPr>
      <w:sz w:val="12"/>
      <w:szCs w:val="12"/>
    </w:rPr>
  </w:style>
  <w:style w:type="paragraph" w:customStyle="1" w:styleId="tablehead">
    <w:name w:val="table head"/>
    <w:pPr>
      <w:numPr>
        <w:numId w:val="9"/>
      </w:numPr>
      <w:spacing w:before="12pt" w:after="6pt" w:line="10.80pt" w:lineRule="auto"/>
      <w:jc w:val="center"/>
    </w:pPr>
    <w:rPr>
      <w:smallCaps/>
      <w:noProof/>
      <w:sz w:val="16"/>
      <w:szCs w:val="16"/>
    </w:rPr>
  </w:style>
  <w:style w:type="paragraph" w:customStyle="1" w:styleId="Keywords">
    <w:name w:val="Keywords"/>
    <w:basedOn w:val="Abstract"/>
    <w:qFormat/>
    <w:rsid w:val="00F9441B"/>
    <w:pPr>
      <w:spacing w:after="6pt"/>
      <w:ind w:firstLine="13.70pt"/>
    </w:pPr>
    <w:rPr>
      <w:i/>
    </w:rPr>
  </w:style>
  <w:style w:type="paragraph" w:styleId="Header">
    <w:name w:val="header"/>
    <w:basedOn w:val="Normal"/>
    <w:link w:val="HeaderChar"/>
    <w:rsid w:val="001A3B3D"/>
    <w:pPr>
      <w:tabs>
        <w:tab w:val="center" w:pos="234pt"/>
        <w:tab w:val="end" w:pos="468pt"/>
      </w:tabs>
    </w:pPr>
  </w:style>
  <w:style w:type="character" w:customStyle="1" w:styleId="HeaderChar">
    <w:name w:val="Header Char"/>
    <w:basedOn w:val="DefaultParagraphFont"/>
    <w:link w:val="Header"/>
    <w:rsid w:val="001A3B3D"/>
  </w:style>
  <w:style w:type="paragraph" w:styleId="Footer">
    <w:name w:val="footer"/>
    <w:basedOn w:val="Normal"/>
    <w:link w:val="FooterChar"/>
    <w:rsid w:val="001A3B3D"/>
    <w:pPr>
      <w:tabs>
        <w:tab w:val="center" w:pos="234pt"/>
        <w:tab w:val="end" w:pos="468pt"/>
      </w:tabs>
    </w:pPr>
  </w:style>
  <w:style w:type="character" w:customStyle="1" w:styleId="FooterChar">
    <w:name w:val="Footer Char"/>
    <w:basedOn w:val="DefaultParagraphFont"/>
    <w:link w:val="Footer"/>
    <w:rsid w:val="001A3B3D"/>
  </w:style>
  <w:style w:type="character" w:styleId="Hyperlink">
    <w:name w:val="Hyperlink"/>
    <w:basedOn w:val="DefaultParagraphFont"/>
    <w:qFormat/>
    <w:rsid w:val="00BB21CE"/>
    <w:rPr>
      <w:color w:val="0563C1" w:themeColor="hyperlink"/>
      <w:u w:val="single"/>
    </w:rPr>
  </w:style>
  <w:style w:type="character" w:customStyle="1" w:styleId="UnresolvedMention1">
    <w:name w:val="Unresolved Mention1"/>
    <w:basedOn w:val="DefaultParagraphFont"/>
    <w:uiPriority w:val="99"/>
    <w:semiHidden/>
    <w:unhideWhenUsed/>
    <w:rsid w:val="00BB21CE"/>
    <w:rPr>
      <w:color w:val="605E5C"/>
      <w:shd w:val="clear" w:color="auto" w:fill="E1DFDD"/>
    </w:rPr>
  </w:style>
  <w:style w:type="paragraph" w:customStyle="1" w:styleId="TableParagraph">
    <w:name w:val="Table Paragraph"/>
    <w:basedOn w:val="Normal"/>
    <w:uiPriority w:val="1"/>
    <w:qFormat/>
    <w:rsid w:val="00BB21CE"/>
    <w:pPr>
      <w:widowControl w:val="0"/>
      <w:autoSpaceDE w:val="0"/>
      <w:autoSpaceDN w:val="0"/>
      <w:ind w:start="5.35pt"/>
      <w:jc w:val="start"/>
    </w:pPr>
    <w:rPr>
      <w:rFonts w:eastAsia="Times New Roman"/>
      <w:sz w:val="22"/>
      <w:szCs w:val="22"/>
    </w:rPr>
  </w:style>
  <w:style w:type="paragraph" w:styleId="Caption">
    <w:name w:val="caption"/>
    <w:basedOn w:val="Normal"/>
    <w:next w:val="Normal"/>
    <w:unhideWhenUsed/>
    <w:qFormat/>
    <w:rsid w:val="002D0570"/>
    <w:pPr>
      <w:spacing w:after="10pt"/>
    </w:pPr>
    <w:rPr>
      <w:i/>
      <w:iCs/>
      <w:color w:val="44546A" w:themeColor="text2"/>
      <w:sz w:val="18"/>
      <w:szCs w:val="18"/>
    </w:rPr>
  </w:style>
  <w:style w:type="paragraph" w:styleId="ListParagraph">
    <w:name w:val="List Paragraph"/>
    <w:basedOn w:val="Normal"/>
    <w:uiPriority w:val="34"/>
    <w:qFormat/>
    <w:rsid w:val="00B747F4"/>
    <w:pPr>
      <w:ind w:start="36pt"/>
      <w:contextualSpacing/>
    </w:pPr>
  </w:style>
  <w:style w:type="table" w:styleId="TableGrid">
    <w:name w:val="Table Grid"/>
    <w:basedOn w:val="TableNormal"/>
    <w:rsid w:val="0075556D"/>
    <w:tblP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Pr>
  </w:style>
  <w:style w:type="paragraph" w:styleId="NormalWeb">
    <w:name w:val="Normal (Web)"/>
    <w:basedOn w:val="Normal"/>
    <w:uiPriority w:val="99"/>
    <w:unhideWhenUsed/>
    <w:rsid w:val="00D95166"/>
    <w:pPr>
      <w:spacing w:before="5pt" w:beforeAutospacing="1" w:after="5pt" w:afterAutospacing="1"/>
      <w:jc w:val="start"/>
    </w:pPr>
    <w:rPr>
      <w:rFonts w:eastAsia="Times New Roman"/>
      <w:sz w:val="24"/>
      <w:szCs w:val="24"/>
      <w:lang/>
    </w:rPr>
  </w:style>
  <w:style w:type="character" w:styleId="Emphasis">
    <w:name w:val="Emphasis"/>
    <w:basedOn w:val="DefaultParagraphFont"/>
    <w:uiPriority w:val="20"/>
    <w:qFormat/>
    <w:rsid w:val="00D95166"/>
    <w:rPr>
      <w:i/>
      <w:iCs/>
    </w:rPr>
  </w:style>
  <w:style w:type="character" w:customStyle="1" w:styleId="UnresolvedMention">
    <w:name w:val="Unresolved Mention"/>
    <w:basedOn w:val="DefaultParagraphFont"/>
    <w:uiPriority w:val="99"/>
    <w:semiHidden/>
    <w:unhideWhenUsed/>
    <w:rsid w:val="00F10C5C"/>
    <w:rPr>
      <w:color w:val="605E5C"/>
      <w:shd w:val="clear" w:color="auto" w:fill="E1DFDD"/>
    </w:rPr>
  </w:style>
  <w:style w:type="character" w:styleId="PlaceholderText">
    <w:name w:val="Placeholder Text"/>
    <w:basedOn w:val="DefaultParagraphFont"/>
    <w:uiPriority w:val="99"/>
    <w:semiHidden/>
    <w:rsid w:val="00712AB0"/>
    <w:rPr>
      <w:color w:val="666666"/>
    </w:rPr>
  </w:style>
</w:styles>
</file>

<file path=word/webSettings.xml><?xml version="1.0" encoding="utf-8"?>
<w:webSettings xmlns:mc="http://schemas.openxmlformats.org/markup-compatibility/2006" xmlns:r="http://purl.oclc.org/ooxml/officeDocument/relationships" xmlns:w="http://purl.oclc.org/ooxml/wordprocessingml/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purl.oclc.org/ooxml/officeDocument/relationships/footer" Target="footer1.xml"/><Relationship Id="rId13" Type="http://purl.oclc.org/ooxml/officeDocument/relationships/hyperlink" Target="mailto:omar.cheema@au.edu.pk" TargetMode="External"/><Relationship Id="rId18" Type="http://purl.oclc.org/ooxml/officeDocument/relationships/image" Target="media/image5.png"/><Relationship Id="rId3" Type="http://purl.oclc.org/ooxml/officeDocument/relationships/styles" Target="styles.xml"/><Relationship Id="rId21" Type="http://purl.oclc.org/ooxml/officeDocument/relationships/image" Target="media/image8.png"/><Relationship Id="rId7" Type="http://purl.oclc.org/ooxml/officeDocument/relationships/endnotes" Target="endnotes.xml"/><Relationship Id="rId12" Type="http://purl.oclc.org/ooxml/officeDocument/relationships/hyperlink" Target="mailto:jahanzeb.gul@mu.ie" TargetMode="External"/><Relationship Id="rId17" Type="http://purl.oclc.org/ooxml/officeDocument/relationships/image" Target="media/image4.png"/><Relationship Id="rId2" Type="http://purl.oclc.org/ooxml/officeDocument/relationships/numbering" Target="numbering.xml"/><Relationship Id="rId16" Type="http://purl.oclc.org/ooxml/officeDocument/relationships/image" Target="media/image3.png"/><Relationship Id="rId20" Type="http://purl.oclc.org/ooxml/officeDocument/relationships/image" Target="media/image7.png"/><Relationship Id="rId1" Type="http://purl.oclc.org/ooxml/officeDocument/relationships/customXml" Target="../customXml/item1.xml"/><Relationship Id="rId6" Type="http://purl.oclc.org/ooxml/officeDocument/relationships/footnotes" Target="footnotes.xml"/><Relationship Id="rId11" Type="http://purl.oclc.org/ooxml/officeDocument/relationships/hyperlink" Target="mailto:mariaamjad444@gmail.com" TargetMode="External"/><Relationship Id="rId5" Type="http://purl.oclc.org/ooxml/officeDocument/relationships/webSettings" Target="webSettings.xml"/><Relationship Id="rId15" Type="http://purl.oclc.org/ooxml/officeDocument/relationships/image" Target="media/image2.png"/><Relationship Id="rId23" Type="http://purl.oclc.org/ooxml/officeDocument/relationships/theme" Target="theme/theme1.xml"/><Relationship Id="rId10" Type="http://purl.oclc.org/ooxml/officeDocument/relationships/hyperlink" Target="mailto:drzia@au.edu.pk" TargetMode="External"/><Relationship Id="rId19" Type="http://purl.oclc.org/ooxml/officeDocument/relationships/image" Target="media/image6.png"/><Relationship Id="rId4" Type="http://purl.oclc.org/ooxml/officeDocument/relationships/settings" Target="settings.xml"/><Relationship Id="rId9" Type="http://purl.oclc.org/ooxml/officeDocument/relationships/hyperlink" Target="mailto:anasijaz157@gmail.com" TargetMode="External"/><Relationship Id="rId14" Type="http://purl.oclc.org/ooxml/officeDocument/relationships/image" Target="media/image1.png"/><Relationship Id="rId22" Type="http://purl.oclc.org/ooxml/officeDocument/relationships/fontTable" Target="fontTable.xml"/></Relationships>
</file>

<file path=word/theme/theme1.xml><?xml version="1.0" encoding="utf-8"?>
<a:theme xmlns:a="http://purl.oclc.org/ooxml/drawingml/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
                <a:satMod val="105%"/>
                <a:tint val="67%"/>
              </a:schemeClr>
            </a:gs>
            <a:gs pos="50%">
              <a:schemeClr val="phClr">
                <a:lumMod val="105%"/>
                <a:satMod val="103%"/>
                <a:tint val="73%"/>
              </a:schemeClr>
            </a:gs>
            <a:gs pos="100%">
              <a:schemeClr val="phClr">
                <a:lumMod val="105%"/>
                <a:satMod val="109%"/>
                <a:tint val="81%"/>
              </a:schemeClr>
            </a:gs>
          </a:gsLst>
          <a:lin ang="5400000" scaled="0"/>
        </a:gradFill>
        <a:gradFill rotWithShape="1">
          <a:gsLst>
            <a:gs pos="0%">
              <a:schemeClr val="phClr">
                <a:satMod val="103%"/>
                <a:lumMod val="102%"/>
                <a:tint val="94%"/>
              </a:schemeClr>
            </a:gs>
            <a:gs pos="50%">
              <a:schemeClr val="phClr">
                <a:satMod val="110%"/>
                <a:lumMod val="100%"/>
                <a:shade val="100%"/>
              </a:schemeClr>
            </a:gs>
            <a:gs pos="100%">
              <a:schemeClr val="phClr">
                <a:lumMod val="99%"/>
                <a:satMod val="120%"/>
                <a:shade val="78%"/>
              </a:schemeClr>
            </a:gs>
          </a:gsLst>
          <a:lin ang="5400000" scaled="0"/>
        </a:gradFill>
      </a:fillStyleLst>
      <a:lnStyleLst>
        <a:ln w="6350" cap="flat" cmpd="sng" algn="ctr">
          <a:solidFill>
            <a:schemeClr val="phClr"/>
          </a:solidFill>
          <a:prstDash val="solid"/>
          <a:miter lim="800%"/>
        </a:ln>
        <a:ln w="12700" cap="flat" cmpd="sng" algn="ctr">
          <a:solidFill>
            <a:schemeClr val="phClr"/>
          </a:solidFill>
          <a:prstDash val="solid"/>
          <a:miter lim="800%"/>
        </a:ln>
        <a:ln w="19050" cap="flat" cmpd="sng" algn="ctr">
          <a:solidFill>
            <a:schemeClr val="phClr"/>
          </a:solidFill>
          <a:prstDash val="solid"/>
          <a:miter lim="800%"/>
        </a:ln>
      </a:lnStyleLst>
      <a:effectStyleLst>
        <a:effectStyle>
          <a:effectLst/>
        </a:effectStyle>
        <a:effectStyle>
          <a:effectLst/>
        </a:effectStyle>
        <a:effectStyle>
          <a:effectLst>
            <a:outerShdw blurRad="57150" dist="19050" dir="5400000" algn="ctr" rotWithShape="0">
              <a:srgbClr val="000000">
                <a:alpha val="63%"/>
              </a:srgbClr>
            </a:outerShdw>
          </a:effectLst>
        </a:effectStyle>
      </a:effectStyleLst>
      <a:bgFillStyleLst>
        <a:solidFill>
          <a:schemeClr val="phClr"/>
        </a:solidFill>
        <a:solidFill>
          <a:schemeClr val="phClr">
            <a:tint val="95%"/>
            <a:satMod val="170%"/>
          </a:schemeClr>
        </a:solidFill>
        <a:gradFill rotWithShape="1">
          <a:gsLst>
            <a:gs pos="0%">
              <a:schemeClr val="phClr">
                <a:tint val="93%"/>
                <a:satMod val="150%"/>
                <a:shade val="98%"/>
                <a:lumMod val="102%"/>
              </a:schemeClr>
            </a:gs>
            <a:gs pos="50%">
              <a:schemeClr val="phClr">
                <a:tint val="98%"/>
                <a:satMod val="130%"/>
                <a:shade val="90%"/>
                <a:lumMod val="103%"/>
              </a:schemeClr>
            </a:gs>
            <a:gs pos="100%">
              <a:schemeClr val="phClr">
                <a:shade val="63%"/>
                <a:satMod val="12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purl.oclc.org/ooxml/officeDocument/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purl.oclc.org/ooxml/officeDocument/customXml" ds:itemID="{44BC5B91-31F5-44F8-AF9D-49807E61C57D}">
  <ds:schemaRefs>
    <ds:schemaRef ds:uri="http://schemas.openxmlformats.org/officeDocument/2006/bibliography"/>
  </ds:schemaRefs>
</ds:datastoreItem>
</file>

<file path=docProps/app.xml><?xml version="1.0" encoding="utf-8"?>
<Properties xmlns="http://purl.oclc.org/ooxml/officeDocument/extendedProperties" xmlns:vt="http://purl.oclc.org/ooxml/officeDocument/docPropsVTypes">
  <Template>Normal.dotm</Template>
  <TotalTime>106</TotalTime>
  <Pages>5</Pages>
  <Words>2876</Words>
  <Characters>14930</Characters>
  <Application>Microsoft Office Word</Application>
  <DocSecurity>0</DocSecurity>
  <Lines>403</Lines>
  <Paragraphs>123</Paragraphs>
  <ScaleCrop>false</ScaleCrop>
  <HeadingPairs>
    <vt:vector size="2" baseType="variant">
      <vt:variant>
        <vt:lpstr>Title</vt:lpstr>
      </vt:variant>
      <vt:variant>
        <vt:i4>1</vt:i4>
      </vt:variant>
    </vt:vector>
  </HeadingPairs>
  <TitlesOfParts>
    <vt:vector size="1" baseType="lpstr">
      <vt:lpstr>Paper Title (use style: paper title)</vt:lpstr>
    </vt:vector>
  </TitlesOfParts>
  <Company>IEEE</Company>
  <LinksUpToDate>false</LinksUpToDate>
  <CharactersWithSpaces>17683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Paper Title (use style: paper title)</dc:title>
  <dc:subject/>
  <dc:creator>IEEE</dc:creator>
  <cp:keywords/>
  <dc:description/>
  <cp:lastModifiedBy>Muhammad Omar Cheema  .</cp:lastModifiedBy>
  <cp:revision>22</cp:revision>
  <dcterms:created xsi:type="dcterms:W3CDTF">2025-09-30T03:44:00Z</dcterms:created>
  <dcterms:modified xsi:type="dcterms:W3CDTF">2025-10-02T11:20:00Z</dcterms:modified>
</cp:coreProperties>
</file>

<file path=docProps/custom.xml><?xml version="1.0" encoding="utf-8"?>
<Properties xmlns="http://purl.oclc.org/ooxml/officeDocument/customProperties" xmlns:vt="http://purl.oclc.org/ooxml/officeDocument/docPropsVTypes">
  <property fmtid="{D5CDD505-2E9C-101B-9397-08002B2CF9AE}" pid="2" name="GrammarlyDocumentId">
    <vt:lpwstr>c2cae623-9fc6-47af-b375-572200b0c70a</vt:lpwstr>
  </property>
</Properties>
</file>